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35511"/>
        <w:docPartObj>
          <w:docPartGallery w:val="Cover Pages"/>
          <w:docPartUnique/>
        </w:docPartObj>
      </w:sdtPr>
      <w:sdtEndPr>
        <w:rPr>
          <w:color w:val="FFFFFF" w:themeColor="background1"/>
          <w:sz w:val="72"/>
          <w:szCs w:val="72"/>
        </w:rPr>
      </w:sdtEndPr>
      <w:sdtContent>
        <w:p w14:paraId="35738A58" w14:textId="50C6AD2D" w:rsidR="00816F5D" w:rsidRDefault="0056040D">
          <w:r>
            <w:rPr>
              <w:noProof/>
            </w:rPr>
            <w:drawing>
              <wp:anchor distT="0" distB="0" distL="114300" distR="114300" simplePos="0" relativeHeight="251660288" behindDoc="0" locked="0" layoutInCell="1" allowOverlap="1" wp14:anchorId="2E5A60D8" wp14:editId="59A66F64">
                <wp:simplePos x="0" y="0"/>
                <wp:positionH relativeFrom="margin">
                  <wp:align>right</wp:align>
                </wp:positionH>
                <wp:positionV relativeFrom="paragraph">
                  <wp:posOffset>0</wp:posOffset>
                </wp:positionV>
                <wp:extent cx="2628900" cy="2628900"/>
                <wp:effectExtent l="0" t="0" r="0" b="0"/>
                <wp:wrapSquare wrapText="bothSides"/>
                <wp:docPr id="41839985" name="Billede 3" descr="Et billede, der indeholder tekst, Font/skrifttype, skærmbilled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9985" name="Billede 3" descr="Et billede, der indeholder tekst, Font/skrifttype, skærmbillede, logo&#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anchor>
            </w:drawing>
          </w:r>
        </w:p>
        <w:p w14:paraId="29CFAFEA" w14:textId="16F504D2" w:rsidR="00816F5D" w:rsidRPr="001F3F63" w:rsidRDefault="00165A03">
          <w:pPr>
            <w:rPr>
              <w:color w:val="FFFFFF" w:themeColor="background1"/>
              <w:sz w:val="72"/>
              <w:szCs w:val="72"/>
            </w:rPr>
          </w:pPr>
          <w:r w:rsidRPr="001F3F63">
            <w:rPr>
              <w:noProof/>
              <w:lang w:eastAsia="da-DK"/>
            </w:rPr>
            <mc:AlternateContent>
              <mc:Choice Requires="wps">
                <w:drawing>
                  <wp:anchor distT="0" distB="0" distL="114300" distR="114300" simplePos="0" relativeHeight="251659264" behindDoc="0" locked="0" layoutInCell="1" allowOverlap="1" wp14:anchorId="58A714FC" wp14:editId="29CE451F">
                    <wp:simplePos x="0" y="0"/>
                    <wp:positionH relativeFrom="margin">
                      <wp:posOffset>-600075</wp:posOffset>
                    </wp:positionH>
                    <wp:positionV relativeFrom="margin">
                      <wp:posOffset>2228850</wp:posOffset>
                    </wp:positionV>
                    <wp:extent cx="10020300" cy="35052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10020300" cy="3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61E4B" w14:textId="7ED9EA85" w:rsidR="00816F5D" w:rsidRDefault="00FC283D" w:rsidP="00165A03">
                                <w:pPr>
                                  <w:jc w:val="center"/>
                                  <w:rPr>
                                    <w:color w:val="4472C4" w:themeColor="accent1"/>
                                    <w:sz w:val="64"/>
                                    <w:szCs w:val="64"/>
                                  </w:rPr>
                                </w:pPr>
                                <w:r w:rsidRPr="00812288">
                                  <w:rPr>
                                    <w:caps/>
                                    <w:color w:val="245652"/>
                                    <w:sz w:val="64"/>
                                    <w:szCs w:val="64"/>
                                  </w:rPr>
                                  <w:t xml:space="preserve">[Selskabsnavn] </w:t>
                                </w:r>
                                <w:r w:rsidRPr="00812288">
                                  <w:rPr>
                                    <w:caps/>
                                    <w:color w:val="245652"/>
                                    <w:sz w:val="64"/>
                                    <w:szCs w:val="64"/>
                                  </w:rPr>
                                  <w:br/>
                                  <w:t>Rapportering af FBV’s anbefalinger til god selskabsledelse for selskaber, der er optaget til handel på en vækstbørs</w:t>
                                </w:r>
                              </w:p>
                              <w:p w14:paraId="11D50D7F" w14:textId="319DFB24" w:rsidR="00816F5D" w:rsidRDefault="00165A03">
                                <w:pPr>
                                  <w:jc w:val="right"/>
                                  <w:rPr>
                                    <w:smallCaps/>
                                    <w:color w:val="404040" w:themeColor="text1" w:themeTint="BF"/>
                                    <w:sz w:val="36"/>
                                    <w:szCs w:val="36"/>
                                  </w:rPr>
                                </w:pPr>
                                <w:r>
                                  <w:rPr>
                                    <w:color w:val="404040" w:themeColor="text1" w:themeTint="BF"/>
                                    <w:sz w:val="36"/>
                                    <w:szCs w:val="36"/>
                                    <w:lang w:val="en-US"/>
                                  </w:rPr>
                                  <w:t>[Dato]</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A714FC" id="_x0000_t202" coordsize="21600,21600" o:spt="202" path="m,l,21600r21600,l21600,xe">
                    <v:stroke joinstyle="miter"/>
                    <v:path gradientshapeok="t" o:connecttype="rect"/>
                  </v:shapetype>
                  <v:shape id="Text Box 154" o:spid="_x0000_s1026" type="#_x0000_t202" style="position:absolute;margin-left:-47.25pt;margin-top:175.5pt;width:789pt;height:2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" filled="f" stroked="f" strokeweight=".5pt">
                    <v:textbox inset="126pt,0,54pt,0">
                      <w:txbxContent>
                        <w:p w14:paraId="5B561E4B" w14:textId="7ED9EA85" w:rsidR="00816F5D" w:rsidRDefault="00FC283D" w:rsidP="00165A03">
                          <w:pPr>
                            <w:jc w:val="center"/>
                            <w:rPr>
                              <w:color w:val="4472C4" w:themeColor="accent1"/>
                              <w:sz w:val="64"/>
                              <w:szCs w:val="64"/>
                            </w:rPr>
                          </w:pPr>
                          <w:r w:rsidRPr="00812288">
                            <w:rPr>
                              <w:caps/>
                              <w:color w:val="245652"/>
                              <w:sz w:val="64"/>
                              <w:szCs w:val="64"/>
                            </w:rPr>
                            <w:t xml:space="preserve">[Selskabsnavn] </w:t>
                          </w:r>
                          <w:r w:rsidRPr="00812288">
                            <w:rPr>
                              <w:caps/>
                              <w:color w:val="245652"/>
                              <w:sz w:val="64"/>
                              <w:szCs w:val="64"/>
                            </w:rPr>
                            <w:br/>
                            <w:t>Rapportering af FBV’s anbefalinger til god selskabsledelse for selskaber, der er optaget til handel på en vækstbørs</w:t>
                          </w:r>
                        </w:p>
                        <w:p w14:paraId="11D50D7F" w14:textId="319DFB24" w:rsidR="00816F5D" w:rsidRDefault="00165A03">
                          <w:pPr>
                            <w:jc w:val="right"/>
                            <w:rPr>
                              <w:smallCaps/>
                              <w:color w:val="404040" w:themeColor="text1" w:themeTint="BF"/>
                              <w:sz w:val="36"/>
                              <w:szCs w:val="36"/>
                            </w:rPr>
                          </w:pPr>
                          <w:r>
                            <w:rPr>
                              <w:color w:val="404040" w:themeColor="text1" w:themeTint="BF"/>
                              <w:sz w:val="36"/>
                              <w:szCs w:val="36"/>
                              <w:lang w:val="en-US"/>
                            </w:rPr>
                            <w:t>[Dato]</w:t>
                          </w:r>
                        </w:p>
                      </w:txbxContent>
                    </v:textbox>
                    <w10:wrap type="square" anchorx="margin" anchory="margin"/>
                  </v:shape>
                </w:pict>
              </mc:Fallback>
            </mc:AlternateContent>
          </w:r>
          <w:r w:rsidR="00816F5D" w:rsidRPr="001F3F63">
            <w:rPr>
              <w:color w:val="FFFFFF" w:themeColor="background1"/>
              <w:sz w:val="72"/>
              <w:szCs w:val="72"/>
            </w:rPr>
            <w:br w:type="page"/>
          </w:r>
        </w:p>
      </w:sdtContent>
    </w:sdt>
    <w:p w14:paraId="59420010" w14:textId="31440066" w:rsidR="00492BA7" w:rsidRPr="001F3F63" w:rsidRDefault="00492BA7" w:rsidP="00DE3C08">
      <w:pPr>
        <w:rPr>
          <w:rFonts w:asciiTheme="majorHAnsi" w:hAnsiTheme="majorHAnsi" w:cstheme="majorHAnsi"/>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DE3C08" w:rsidRPr="001F3F63" w14:paraId="067DE66D" w14:textId="77777777" w:rsidTr="0022476D">
        <w:tc>
          <w:tcPr>
            <w:tcW w:w="2552" w:type="dxa"/>
          </w:tcPr>
          <w:p w14:paraId="76176167" w14:textId="2A52A8CD" w:rsidR="00DE3C08" w:rsidRPr="001F3F63" w:rsidRDefault="00DE3C08" w:rsidP="00DE3C08">
            <w:pPr>
              <w:rPr>
                <w:rFonts w:asciiTheme="majorHAnsi" w:hAnsiTheme="majorHAnsi" w:cstheme="majorHAnsi"/>
              </w:rPr>
            </w:pPr>
            <w:r w:rsidRPr="001F3F63">
              <w:rPr>
                <w:rFonts w:asciiTheme="majorHAnsi" w:hAnsiTheme="majorHAnsi" w:cstheme="majorHAnsi"/>
              </w:rPr>
              <w:t xml:space="preserve">Virksomhedsnavn: </w:t>
            </w:r>
          </w:p>
        </w:tc>
        <w:tc>
          <w:tcPr>
            <w:tcW w:w="6464" w:type="dxa"/>
          </w:tcPr>
          <w:p w14:paraId="7A00A9C5" w14:textId="31C82213" w:rsidR="00DE3C08" w:rsidRPr="001F3F63" w:rsidRDefault="001F3F63" w:rsidP="00DE3C08">
            <w:pPr>
              <w:rPr>
                <w:rFonts w:asciiTheme="majorHAnsi" w:hAnsiTheme="majorHAnsi" w:cstheme="majorHAnsi"/>
              </w:rPr>
            </w:pPr>
            <w:r w:rsidRPr="001F3F63">
              <w:rPr>
                <w:rFonts w:asciiTheme="majorHAnsi" w:hAnsiTheme="majorHAnsi" w:cstheme="majorHAnsi"/>
              </w:rPr>
              <w:t>[Indsæt firmanavn]</w:t>
            </w:r>
          </w:p>
        </w:tc>
      </w:tr>
      <w:tr w:rsidR="00DE3C08" w:rsidRPr="001F3F63" w14:paraId="4167F794" w14:textId="77777777" w:rsidTr="0022476D">
        <w:tc>
          <w:tcPr>
            <w:tcW w:w="2552" w:type="dxa"/>
          </w:tcPr>
          <w:p w14:paraId="26FDA0D1" w14:textId="5136895F" w:rsidR="00DE3C08" w:rsidRPr="001F3F63" w:rsidRDefault="00DE3C08" w:rsidP="00DE3C08">
            <w:pPr>
              <w:rPr>
                <w:rFonts w:asciiTheme="majorHAnsi" w:hAnsiTheme="majorHAnsi" w:cstheme="majorHAnsi"/>
              </w:rPr>
            </w:pPr>
            <w:r w:rsidRPr="001F3F63">
              <w:rPr>
                <w:rFonts w:asciiTheme="majorHAnsi" w:hAnsiTheme="majorHAnsi" w:cstheme="majorHAnsi"/>
              </w:rPr>
              <w:t>Dato for offentliggørelse</w:t>
            </w:r>
          </w:p>
        </w:tc>
        <w:tc>
          <w:tcPr>
            <w:tcW w:w="6464" w:type="dxa"/>
          </w:tcPr>
          <w:p w14:paraId="6B0F34C2" w14:textId="4DC437A2" w:rsidR="00DE3C08" w:rsidRPr="001F3F63" w:rsidRDefault="001F3F63" w:rsidP="00DE3C08">
            <w:pPr>
              <w:rPr>
                <w:rFonts w:asciiTheme="majorHAnsi" w:hAnsiTheme="majorHAnsi" w:cstheme="majorHAnsi"/>
              </w:rPr>
            </w:pPr>
            <w:r w:rsidRPr="001F3F63">
              <w:rPr>
                <w:rFonts w:asciiTheme="majorHAnsi" w:hAnsiTheme="majorHAnsi" w:cstheme="majorHAnsi"/>
              </w:rPr>
              <w:t>[indsæt dato]</w:t>
            </w:r>
          </w:p>
        </w:tc>
      </w:tr>
      <w:tr w:rsidR="00DE3C08" w:rsidRPr="001F3F63" w14:paraId="65312952" w14:textId="77777777" w:rsidTr="0022476D">
        <w:tc>
          <w:tcPr>
            <w:tcW w:w="2552" w:type="dxa"/>
          </w:tcPr>
          <w:p w14:paraId="4C91C168" w14:textId="6D61D6E3" w:rsidR="00DE3C08" w:rsidRPr="001F3F63" w:rsidRDefault="00165A03" w:rsidP="00DE3C08">
            <w:pPr>
              <w:rPr>
                <w:rFonts w:asciiTheme="majorHAnsi" w:hAnsiTheme="majorHAnsi" w:cstheme="majorHAnsi"/>
              </w:rPr>
            </w:pPr>
            <w:r w:rsidRPr="001F3F63">
              <w:rPr>
                <w:rFonts w:asciiTheme="majorHAnsi" w:hAnsiTheme="majorHAnsi" w:cstheme="majorHAnsi"/>
              </w:rPr>
              <w:t>Vedrørende regnskabsår</w:t>
            </w:r>
          </w:p>
        </w:tc>
        <w:tc>
          <w:tcPr>
            <w:tcW w:w="6464" w:type="dxa"/>
          </w:tcPr>
          <w:p w14:paraId="0EB5880E" w14:textId="223108F8" w:rsidR="00DE3C08" w:rsidRPr="001F3F63" w:rsidRDefault="001F3F63" w:rsidP="00DE3C08">
            <w:pPr>
              <w:rPr>
                <w:rFonts w:asciiTheme="majorHAnsi" w:hAnsiTheme="majorHAnsi" w:cstheme="majorHAnsi"/>
              </w:rPr>
            </w:pPr>
            <w:r w:rsidRPr="001F3F63">
              <w:rPr>
                <w:rFonts w:asciiTheme="majorHAnsi" w:hAnsiTheme="majorHAnsi" w:cstheme="majorHAnsi"/>
              </w:rPr>
              <w:t>[indsæt regnskabsår]</w:t>
            </w:r>
          </w:p>
        </w:tc>
      </w:tr>
    </w:tbl>
    <w:p w14:paraId="6251E6D3" w14:textId="309D5E21" w:rsidR="00154725" w:rsidRPr="001F3F63" w:rsidRDefault="00154725" w:rsidP="00DE3C08">
      <w:pPr>
        <w:rPr>
          <w:rFonts w:asciiTheme="majorHAnsi" w:hAnsiTheme="majorHAnsi" w:cstheme="majorHAnsi"/>
        </w:rPr>
      </w:pPr>
    </w:p>
    <w:p w14:paraId="2D39AD10" w14:textId="77777777" w:rsidR="00165A03" w:rsidRPr="001F3F63" w:rsidRDefault="00165A03" w:rsidP="00154725">
      <w:pPr>
        <w:rPr>
          <w:rFonts w:asciiTheme="majorHAnsi" w:hAnsiTheme="majorHAnsi" w:cstheme="majorHAnsi"/>
        </w:rPr>
      </w:pPr>
    </w:p>
    <w:p w14:paraId="2030F43A" w14:textId="39038E44" w:rsidR="00154725" w:rsidRPr="001F3F63" w:rsidRDefault="00165A03" w:rsidP="00154725">
      <w:pPr>
        <w:rPr>
          <w:rFonts w:asciiTheme="majorHAnsi" w:hAnsiTheme="majorHAnsi" w:cstheme="majorHAnsi"/>
        </w:rPr>
      </w:pPr>
      <w:r w:rsidRPr="001F3F63">
        <w:rPr>
          <w:rFonts w:asciiTheme="majorHAnsi" w:hAnsiTheme="majorHAnsi" w:cstheme="majorHAnsi"/>
        </w:rPr>
        <w:t>Eventuelt underskrifter af bestyrelsen</w:t>
      </w:r>
      <w:r w:rsidR="00154725" w:rsidRPr="001F3F63">
        <w:rPr>
          <w:rFonts w:asciiTheme="majorHAnsi" w:hAnsiTheme="majorHAnsi" w:cstheme="majorHAnsi"/>
        </w:rPr>
        <w:br w:type="page"/>
      </w:r>
    </w:p>
    <w:p w14:paraId="06A63073" w14:textId="6EC878CF" w:rsidR="00DE3C08" w:rsidRPr="00CB1536" w:rsidRDefault="00154725" w:rsidP="00CB1536">
      <w:pPr>
        <w:pStyle w:val="Overskrift2"/>
        <w:rPr>
          <w:b/>
          <w:bCs/>
          <w:color w:val="245652"/>
        </w:rPr>
      </w:pPr>
      <w:r w:rsidRPr="00CB1536">
        <w:rPr>
          <w:b/>
          <w:bCs/>
          <w:color w:val="245652"/>
        </w:rPr>
        <w:lastRenderedPageBreak/>
        <w:t>Forord</w:t>
      </w:r>
    </w:p>
    <w:p w14:paraId="73920532" w14:textId="04E4C721" w:rsidR="00154725" w:rsidRPr="00A7593A" w:rsidRDefault="00154725" w:rsidP="00492BA7">
      <w:pPr>
        <w:rPr>
          <w:noProof/>
        </w:rPr>
      </w:pPr>
      <w:r w:rsidRPr="00A7593A">
        <w:rPr>
          <w:noProof/>
        </w:rPr>
        <w:t>Lorem ipsum dolor sit amet, consectetuer adipiscing elit. Maecenas porttitor congue massa. Fusce posuere, magna sed pulvinar ultricies, purus lectus malesuada libero, sit amet commodo magna eros quis urna. Nunc viverra imperdiet enim. Fusce est.</w:t>
      </w:r>
    </w:p>
    <w:p w14:paraId="4AEE34F0" w14:textId="77777777" w:rsidR="00154725" w:rsidRPr="00023870" w:rsidRDefault="00154725" w:rsidP="00492BA7">
      <w:pPr>
        <w:rPr>
          <w:noProof/>
          <w:lang w:val="en-US"/>
        </w:rPr>
      </w:pPr>
      <w:r w:rsidRPr="00A7593A">
        <w:rPr>
          <w:noProof/>
        </w:rPr>
        <w:t xml:space="preserve">Vivamus a tellus. Pellentesque habitant morbi tristique senectus et netus et malesuada fames ac turpis egestas. </w:t>
      </w:r>
      <w:r w:rsidRPr="00023870">
        <w:rPr>
          <w:noProof/>
          <w:lang w:val="en-US"/>
        </w:rPr>
        <w:t>Proin pharetra nonummy pede. Mauris et orci. Aenean nec lorem.</w:t>
      </w:r>
    </w:p>
    <w:p w14:paraId="622D8FC1" w14:textId="77777777" w:rsidR="00154725" w:rsidRPr="00023870" w:rsidRDefault="00154725" w:rsidP="00492BA7">
      <w:pPr>
        <w:rPr>
          <w:noProof/>
          <w:lang w:val="en-US"/>
        </w:rPr>
      </w:pPr>
      <w:r w:rsidRPr="00023870">
        <w:rPr>
          <w:noProof/>
          <w:lang w:val="en-US"/>
        </w:rPr>
        <w:t>In porttitor. Donec laoreet nonummy augue. Suspendisse dui purus, scelerisque at, vulputate vitae, pretium mattis, nunc. Mauris eget neque at sem venenatis eleifend. Ut nonummy.</w:t>
      </w:r>
    </w:p>
    <w:p w14:paraId="1AEA2C9D" w14:textId="77777777" w:rsidR="00154725" w:rsidRPr="00023870" w:rsidRDefault="00154725" w:rsidP="00492BA7">
      <w:pPr>
        <w:rPr>
          <w:noProof/>
          <w:lang w:val="en-US"/>
        </w:rPr>
      </w:pPr>
      <w:r w:rsidRPr="00023870">
        <w:rPr>
          <w:noProof/>
          <w:lang w:val="en-US"/>
        </w:rPr>
        <w:t>Fusce aliquet pede non pede. Suspendisse dapibus lorem pellentesque magna. Integer nulla. Donec blandit feugiat ligula. Donec hendrerit, felis et imperdiet euismod, purus ipsum pretium metus, in lacinia nulla nisl eget sapien.</w:t>
      </w:r>
    </w:p>
    <w:p w14:paraId="78FF16EB" w14:textId="77777777" w:rsidR="00154725" w:rsidRPr="00023870" w:rsidRDefault="00154725" w:rsidP="00492BA7">
      <w:pPr>
        <w:rPr>
          <w:noProof/>
          <w:lang w:val="en-US"/>
        </w:rPr>
      </w:pPr>
      <w:r w:rsidRPr="00023870">
        <w:rPr>
          <w:noProof/>
          <w:lang w:val="en-US"/>
        </w:rPr>
        <w:t xml:space="preserve">Donec ut est in lectus </w:t>
      </w:r>
      <w:r w:rsidRPr="0056040D">
        <w:rPr>
          <w:lang w:val="en-US"/>
        </w:rPr>
        <w:t>consequat</w:t>
      </w:r>
      <w:r w:rsidRPr="00023870">
        <w:rPr>
          <w:noProof/>
          <w:lang w:val="en-US"/>
        </w:rPr>
        <w:t xml:space="preserve"> consequat. </w:t>
      </w:r>
      <w:r w:rsidRPr="00A7593A">
        <w:rPr>
          <w:noProof/>
          <w:lang w:val="en-US"/>
        </w:rPr>
        <w:t xml:space="preserve">Etiam eget dui. Aliquam erat volutpat. </w:t>
      </w:r>
      <w:r w:rsidRPr="00023870">
        <w:rPr>
          <w:noProof/>
          <w:lang w:val="en-US"/>
        </w:rPr>
        <w:t>Sed at lorem in nunc porta tristique. Proin nec augue.</w:t>
      </w:r>
    </w:p>
    <w:p w14:paraId="58D93863" w14:textId="77777777" w:rsidR="00154725" w:rsidRPr="00023870" w:rsidRDefault="00154725" w:rsidP="00492BA7">
      <w:pPr>
        <w:rPr>
          <w:noProof/>
          <w:lang w:val="en-US"/>
        </w:rPr>
      </w:pPr>
      <w:r w:rsidRPr="00023870">
        <w:rPr>
          <w:noProof/>
          <w:lang w:val="en-US"/>
        </w:rPr>
        <w:t>Quisque aliquam tempor magna. Pellentesque habitant morbi tristique senectus et netus et malesuada fames ac turpis egestas. Nunc ac magna. Maecenas odio dolor, vulputate vel, auctor ac, accumsan id, felis. Pellentesque cursus sagittis felis.</w:t>
      </w:r>
    </w:p>
    <w:p w14:paraId="3B681837" w14:textId="77777777" w:rsidR="00154725" w:rsidRPr="009559DE" w:rsidRDefault="00154725" w:rsidP="00492BA7">
      <w:pPr>
        <w:rPr>
          <w:noProof/>
          <w:lang w:val="en-US"/>
        </w:rPr>
      </w:pPr>
      <w:r w:rsidRPr="00023870">
        <w:rPr>
          <w:noProof/>
          <w:lang w:val="en-US"/>
        </w:rPr>
        <w:t xml:space="preserve">Pellentesque porttitor, velit lacinia egestas auctor, diam eros tempus arcu, nec vulputate augue magna vel risus. Cras non magna vel ante adipiscing rhoncus. Vivamus a mi. </w:t>
      </w:r>
      <w:r w:rsidRPr="009559DE">
        <w:rPr>
          <w:noProof/>
          <w:lang w:val="en-US"/>
        </w:rPr>
        <w:t>Morbi neque. Aliquam erat volutpat.</w:t>
      </w:r>
    </w:p>
    <w:p w14:paraId="4445A9CE" w14:textId="77777777" w:rsidR="00154725" w:rsidRPr="00023870" w:rsidRDefault="00154725" w:rsidP="00492BA7">
      <w:pPr>
        <w:rPr>
          <w:noProof/>
          <w:lang w:val="en-US"/>
        </w:rPr>
      </w:pPr>
      <w:r w:rsidRPr="009559DE">
        <w:rPr>
          <w:noProof/>
          <w:lang w:val="en-US"/>
        </w:rPr>
        <w:t xml:space="preserve">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r w:rsidRPr="00023870">
        <w:rPr>
          <w:noProof/>
          <w:lang w:val="en-US"/>
        </w:rPr>
        <w:t>Donec elit est, consectetuer eget, consequat quis, tempus quis, wisi.</w:t>
      </w:r>
    </w:p>
    <w:p w14:paraId="760ED3DA" w14:textId="77777777" w:rsidR="00154725" w:rsidRPr="00023870" w:rsidRDefault="00154725" w:rsidP="00492BA7">
      <w:pPr>
        <w:rPr>
          <w:noProof/>
          <w:lang w:val="en-US"/>
        </w:rPr>
      </w:pPr>
      <w:r w:rsidRPr="00023870">
        <w:rPr>
          <w:noProof/>
          <w:lang w:val="en-US"/>
        </w:rPr>
        <w:t>In in nunc. Class aptent taciti sociosqu ad litora torquent per conubia nostra, per inceptos hymenaeos. Donec ullamcorper fringilla eros. Fusce in sapien eu purus dapibus commodo. Cum sociis natoque penatibus et magnis dis parturient montes, nascetur ridiculus mus.</w:t>
      </w:r>
    </w:p>
    <w:p w14:paraId="580C8FE4" w14:textId="39AF67BF" w:rsidR="007457FD" w:rsidRPr="00023870" w:rsidRDefault="00154725" w:rsidP="00492BA7">
      <w:pPr>
        <w:rPr>
          <w:noProof/>
          <w:lang w:val="en-US"/>
        </w:rPr>
      </w:pPr>
      <w:r w:rsidRPr="00023870">
        <w:rPr>
          <w:noProof/>
          <w:lang w:val="en-US"/>
        </w:rPr>
        <w:t xml:space="preserve">Cras faucibus condimentum odio. Sed ac ligula. </w:t>
      </w:r>
      <w:r w:rsidRPr="00A7593A">
        <w:rPr>
          <w:noProof/>
          <w:lang w:val="en-US"/>
        </w:rPr>
        <w:t xml:space="preserve">Aliquam at eros. Etiam at ligula et tellus ullamcorper ultrices. </w:t>
      </w:r>
      <w:r w:rsidRPr="00023870">
        <w:rPr>
          <w:noProof/>
          <w:lang w:val="en-US"/>
        </w:rPr>
        <w:t>In fermentum, lorem non cursus porttitor, diam urna accumsan lacus, sed interdum wisi nibh nec nisl.</w:t>
      </w:r>
    </w:p>
    <w:p w14:paraId="00A79FF0" w14:textId="2D96FE6E" w:rsidR="004C11C9" w:rsidRPr="00023870" w:rsidRDefault="007457FD" w:rsidP="0022476D">
      <w:pPr>
        <w:rPr>
          <w:rFonts w:asciiTheme="majorHAnsi" w:hAnsiTheme="majorHAnsi" w:cstheme="majorHAnsi"/>
          <w:noProof/>
          <w:lang w:val="en-US"/>
        </w:rPr>
      </w:pPr>
      <w:r w:rsidRPr="00023870">
        <w:rPr>
          <w:rFonts w:asciiTheme="majorHAnsi" w:hAnsiTheme="majorHAnsi" w:cstheme="majorHAnsi"/>
          <w:noProof/>
          <w:lang w:val="en-US"/>
        </w:rPr>
        <w:br w:type="page"/>
      </w:r>
    </w:p>
    <w:tbl>
      <w:tblPr>
        <w:tblStyle w:val="Tabel-Gitter"/>
        <w:tblpPr w:leftFromText="180" w:rightFromText="180" w:vertAnchor="text" w:tblpY="1"/>
        <w:tblOverlap w:val="never"/>
        <w:tblW w:w="14029" w:type="dxa"/>
        <w:tblCellMar>
          <w:top w:w="113" w:type="dxa"/>
          <w:bottom w:w="113" w:type="dxa"/>
        </w:tblCellMar>
        <w:tblLook w:val="04A0" w:firstRow="1" w:lastRow="0" w:firstColumn="1" w:lastColumn="0" w:noHBand="0" w:noVBand="1"/>
      </w:tblPr>
      <w:tblGrid>
        <w:gridCol w:w="4384"/>
        <w:gridCol w:w="1281"/>
        <w:gridCol w:w="2595"/>
        <w:gridCol w:w="38"/>
        <w:gridCol w:w="2852"/>
        <w:gridCol w:w="2879"/>
      </w:tblGrid>
      <w:tr w:rsidR="00FD1D23" w:rsidRPr="0017124A" w14:paraId="66AFAE11" w14:textId="77777777" w:rsidTr="00492BA7">
        <w:trPr>
          <w:cantSplit/>
          <w:trHeight w:val="406"/>
          <w:tblHeader/>
        </w:trPr>
        <w:tc>
          <w:tcPr>
            <w:tcW w:w="4384" w:type="dxa"/>
            <w:tcBorders>
              <w:bottom w:val="nil"/>
              <w:right w:val="nil"/>
            </w:tcBorders>
            <w:shd w:val="clear" w:color="auto" w:fill="245652"/>
          </w:tcPr>
          <w:p w14:paraId="225D2BD0" w14:textId="50A25179" w:rsidR="008C7BE6" w:rsidRPr="004B582E" w:rsidRDefault="008C7BE6" w:rsidP="00273D8C">
            <w:pPr>
              <w:rPr>
                <w:rFonts w:asciiTheme="majorHAnsi" w:hAnsiTheme="majorHAnsi" w:cstheme="majorHAnsi"/>
                <w:b/>
                <w:bCs/>
                <w:color w:val="FFFFFF" w:themeColor="background1"/>
                <w:sz w:val="28"/>
                <w:szCs w:val="28"/>
              </w:rPr>
            </w:pPr>
            <w:r w:rsidRPr="004B582E">
              <w:rPr>
                <w:rFonts w:asciiTheme="majorHAnsi" w:hAnsiTheme="majorHAnsi" w:cstheme="majorHAnsi"/>
                <w:b/>
                <w:bCs/>
                <w:color w:val="FFFFFF" w:themeColor="background1"/>
                <w:sz w:val="28"/>
                <w:szCs w:val="28"/>
              </w:rPr>
              <w:lastRenderedPageBreak/>
              <w:t>Anbefaling</w:t>
            </w:r>
          </w:p>
        </w:tc>
        <w:tc>
          <w:tcPr>
            <w:tcW w:w="1281" w:type="dxa"/>
            <w:tcBorders>
              <w:left w:val="nil"/>
              <w:bottom w:val="nil"/>
              <w:right w:val="nil"/>
            </w:tcBorders>
            <w:shd w:val="clear" w:color="auto" w:fill="245652"/>
          </w:tcPr>
          <w:p w14:paraId="6B668D52" w14:textId="3646BFE1" w:rsidR="008C7BE6" w:rsidRPr="00AD4297" w:rsidRDefault="008C7BE6" w:rsidP="00273D8C">
            <w:pPr>
              <w:rPr>
                <w:rFonts w:asciiTheme="majorHAnsi" w:hAnsiTheme="majorHAnsi" w:cstheme="majorHAnsi"/>
                <w:b/>
                <w:bCs/>
                <w:color w:val="FFFFFF" w:themeColor="background1"/>
                <w:sz w:val="24"/>
                <w:szCs w:val="24"/>
              </w:rPr>
            </w:pPr>
            <w:r w:rsidRPr="00AD4297">
              <w:rPr>
                <w:rFonts w:asciiTheme="majorHAnsi" w:hAnsiTheme="majorHAnsi" w:cstheme="majorHAnsi"/>
                <w:b/>
                <w:bCs/>
                <w:color w:val="FFFFFF" w:themeColor="background1"/>
                <w:sz w:val="24"/>
                <w:szCs w:val="24"/>
              </w:rPr>
              <w:t>Selskabet følger</w:t>
            </w:r>
          </w:p>
        </w:tc>
        <w:tc>
          <w:tcPr>
            <w:tcW w:w="8364" w:type="dxa"/>
            <w:gridSpan w:val="4"/>
            <w:tcBorders>
              <w:left w:val="nil"/>
              <w:bottom w:val="nil"/>
            </w:tcBorders>
            <w:shd w:val="clear" w:color="auto" w:fill="245652"/>
          </w:tcPr>
          <w:p w14:paraId="58487CEC" w14:textId="17E8B9B7" w:rsidR="008C7BE6" w:rsidRPr="00AD4297" w:rsidRDefault="00BB1864" w:rsidP="00273D8C">
            <w:pPr>
              <w:rPr>
                <w:rFonts w:asciiTheme="majorHAnsi" w:hAnsiTheme="majorHAnsi" w:cstheme="majorHAnsi"/>
                <w:b/>
                <w:bCs/>
                <w:color w:val="FFFFFF" w:themeColor="background1"/>
                <w:sz w:val="24"/>
                <w:szCs w:val="24"/>
              </w:rPr>
            </w:pPr>
            <w:r w:rsidRPr="00AD4297">
              <w:rPr>
                <w:rFonts w:asciiTheme="majorHAnsi" w:hAnsiTheme="majorHAnsi" w:cstheme="majorHAnsi"/>
                <w:b/>
                <w:bCs/>
                <w:color w:val="FFFFFF" w:themeColor="background1"/>
                <w:sz w:val="24"/>
                <w:szCs w:val="24"/>
              </w:rPr>
              <w:t>Sels</w:t>
            </w:r>
            <w:r w:rsidRPr="00AD4297">
              <w:rPr>
                <w:rFonts w:asciiTheme="majorHAnsi" w:hAnsiTheme="majorHAnsi" w:cstheme="majorHAnsi"/>
                <w:b/>
                <w:bCs/>
                <w:color w:val="FFFFFF" w:themeColor="background1"/>
                <w:sz w:val="24"/>
                <w:szCs w:val="24"/>
                <w:shd w:val="clear" w:color="auto" w:fill="245652"/>
              </w:rPr>
              <w:t>kab</w:t>
            </w:r>
            <w:r w:rsidRPr="00AD4297">
              <w:rPr>
                <w:rFonts w:asciiTheme="majorHAnsi" w:hAnsiTheme="majorHAnsi" w:cstheme="majorHAnsi"/>
                <w:b/>
                <w:bCs/>
                <w:color w:val="FFFFFF" w:themeColor="background1"/>
                <w:sz w:val="24"/>
                <w:szCs w:val="24"/>
              </w:rPr>
              <w:t>et</w:t>
            </w:r>
            <w:r w:rsidR="00EF4780" w:rsidRPr="00AD4297">
              <w:rPr>
                <w:rFonts w:asciiTheme="majorHAnsi" w:hAnsiTheme="majorHAnsi" w:cstheme="majorHAnsi"/>
                <w:b/>
                <w:bCs/>
                <w:color w:val="FFFFFF" w:themeColor="background1"/>
                <w:sz w:val="24"/>
                <w:szCs w:val="24"/>
              </w:rPr>
              <w:t>s forklaringer og planer</w:t>
            </w:r>
          </w:p>
        </w:tc>
      </w:tr>
      <w:tr w:rsidR="00B36E43" w:rsidRPr="0017124A" w14:paraId="4D0E07BB" w14:textId="77777777" w:rsidTr="00492BA7">
        <w:trPr>
          <w:cantSplit/>
          <w:trHeight w:val="377"/>
          <w:tblHeader/>
        </w:trPr>
        <w:tc>
          <w:tcPr>
            <w:tcW w:w="4384" w:type="dxa"/>
            <w:tcBorders>
              <w:top w:val="nil"/>
              <w:right w:val="nil"/>
            </w:tcBorders>
            <w:shd w:val="clear" w:color="auto" w:fill="245652"/>
          </w:tcPr>
          <w:p w14:paraId="1B6E1168" w14:textId="77777777" w:rsidR="00BE2F09" w:rsidRPr="00E1247B" w:rsidRDefault="00BE2F09" w:rsidP="00273D8C">
            <w:pPr>
              <w:rPr>
                <w:rFonts w:asciiTheme="majorHAnsi" w:hAnsiTheme="majorHAnsi" w:cstheme="majorHAnsi"/>
                <w:color w:val="FFFFFF" w:themeColor="background1"/>
              </w:rPr>
            </w:pPr>
          </w:p>
        </w:tc>
        <w:tc>
          <w:tcPr>
            <w:tcW w:w="1281" w:type="dxa"/>
            <w:tcBorders>
              <w:top w:val="nil"/>
              <w:left w:val="nil"/>
              <w:right w:val="nil"/>
            </w:tcBorders>
            <w:shd w:val="clear" w:color="auto" w:fill="245652"/>
          </w:tcPr>
          <w:p w14:paraId="689E8BAF" w14:textId="77777777" w:rsidR="00BE2F09" w:rsidRPr="00AD4297" w:rsidRDefault="00BE2F09" w:rsidP="00273D8C">
            <w:pPr>
              <w:rPr>
                <w:rFonts w:asciiTheme="majorHAnsi" w:hAnsiTheme="majorHAnsi" w:cstheme="majorHAnsi"/>
                <w:b/>
                <w:bCs/>
                <w:color w:val="FFFFFF" w:themeColor="background1"/>
                <w:sz w:val="24"/>
                <w:szCs w:val="24"/>
              </w:rPr>
            </w:pPr>
          </w:p>
        </w:tc>
        <w:tc>
          <w:tcPr>
            <w:tcW w:w="2633" w:type="dxa"/>
            <w:gridSpan w:val="2"/>
            <w:tcBorders>
              <w:top w:val="nil"/>
              <w:left w:val="nil"/>
              <w:right w:val="nil"/>
            </w:tcBorders>
            <w:shd w:val="clear" w:color="auto" w:fill="245652"/>
          </w:tcPr>
          <w:p w14:paraId="2561AEAA" w14:textId="73FBCB03" w:rsidR="00BE2F09" w:rsidRPr="00AD4297" w:rsidRDefault="00AD4297" w:rsidP="00273D8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H</w:t>
            </w:r>
            <w:r w:rsidR="00E967D6" w:rsidRPr="00AD4297">
              <w:rPr>
                <w:rFonts w:asciiTheme="majorHAnsi" w:hAnsiTheme="majorHAnsi" w:cstheme="majorHAnsi"/>
                <w:b/>
                <w:bCs/>
                <w:color w:val="FFFFFF" w:themeColor="background1"/>
                <w:sz w:val="24"/>
                <w:szCs w:val="24"/>
              </w:rPr>
              <w:t>vorfor</w:t>
            </w:r>
          </w:p>
        </w:tc>
        <w:tc>
          <w:tcPr>
            <w:tcW w:w="2852" w:type="dxa"/>
            <w:tcBorders>
              <w:top w:val="nil"/>
              <w:left w:val="nil"/>
              <w:right w:val="nil"/>
            </w:tcBorders>
            <w:shd w:val="clear" w:color="auto" w:fill="245652"/>
          </w:tcPr>
          <w:p w14:paraId="21F7337F" w14:textId="4BC8E81D" w:rsidR="00BE2F09" w:rsidRPr="00AD4297" w:rsidRDefault="00AD4297" w:rsidP="00273D8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H</w:t>
            </w:r>
            <w:r w:rsidR="00E967D6" w:rsidRPr="00AD4297">
              <w:rPr>
                <w:rFonts w:asciiTheme="majorHAnsi" w:hAnsiTheme="majorHAnsi" w:cstheme="majorHAnsi"/>
                <w:b/>
                <w:bCs/>
                <w:color w:val="FFFFFF" w:themeColor="background1"/>
                <w:sz w:val="24"/>
                <w:szCs w:val="24"/>
              </w:rPr>
              <w:t>vordan</w:t>
            </w:r>
          </w:p>
        </w:tc>
        <w:tc>
          <w:tcPr>
            <w:tcW w:w="2879" w:type="dxa"/>
            <w:tcBorders>
              <w:top w:val="nil"/>
              <w:left w:val="nil"/>
            </w:tcBorders>
            <w:shd w:val="clear" w:color="auto" w:fill="245652"/>
          </w:tcPr>
          <w:p w14:paraId="237F56C5" w14:textId="55933BF7" w:rsidR="00BE2F09" w:rsidRPr="00AD4297" w:rsidRDefault="00AD4297" w:rsidP="00273D8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P</w:t>
            </w:r>
            <w:r w:rsidR="00E967D6" w:rsidRPr="00AD4297">
              <w:rPr>
                <w:rFonts w:asciiTheme="majorHAnsi" w:hAnsiTheme="majorHAnsi" w:cstheme="majorHAnsi"/>
                <w:b/>
                <w:bCs/>
                <w:color w:val="FFFFFF" w:themeColor="background1"/>
                <w:sz w:val="24"/>
                <w:szCs w:val="24"/>
              </w:rPr>
              <w:t>lane</w:t>
            </w:r>
            <w:r w:rsidR="00813C21" w:rsidRPr="00AD4297">
              <w:rPr>
                <w:rFonts w:asciiTheme="majorHAnsi" w:hAnsiTheme="majorHAnsi" w:cstheme="majorHAnsi"/>
                <w:b/>
                <w:bCs/>
                <w:color w:val="FFFFFF" w:themeColor="background1"/>
                <w:sz w:val="24"/>
                <w:szCs w:val="24"/>
              </w:rPr>
              <w:t>r</w:t>
            </w:r>
          </w:p>
        </w:tc>
      </w:tr>
      <w:tr w:rsidR="000C5C54" w:rsidRPr="0017124A" w14:paraId="61ABE632" w14:textId="77777777" w:rsidTr="00492BA7">
        <w:trPr>
          <w:trHeight w:val="377"/>
        </w:trPr>
        <w:tc>
          <w:tcPr>
            <w:tcW w:w="14029" w:type="dxa"/>
            <w:gridSpan w:val="6"/>
          </w:tcPr>
          <w:p w14:paraId="27757F93" w14:textId="477F8502" w:rsidR="000C5C54" w:rsidRPr="006D2873" w:rsidRDefault="006D2873" w:rsidP="006D2873">
            <w:pPr>
              <w:rPr>
                <w:rFonts w:asciiTheme="majorHAnsi" w:hAnsiTheme="majorHAnsi" w:cstheme="majorHAnsi"/>
                <w:b/>
                <w:bCs/>
                <w:sz w:val="28"/>
                <w:szCs w:val="28"/>
              </w:rPr>
            </w:pPr>
            <w:r>
              <w:rPr>
                <w:rFonts w:asciiTheme="majorHAnsi" w:hAnsiTheme="majorHAnsi" w:cstheme="majorHAnsi"/>
                <w:b/>
                <w:bCs/>
                <w:sz w:val="28"/>
                <w:szCs w:val="28"/>
              </w:rPr>
              <w:t xml:space="preserve">1. </w:t>
            </w:r>
            <w:r w:rsidR="00BB726C" w:rsidRPr="006D2873">
              <w:rPr>
                <w:rFonts w:asciiTheme="majorHAnsi" w:hAnsiTheme="majorHAnsi" w:cstheme="majorHAnsi"/>
                <w:b/>
                <w:bCs/>
                <w:sz w:val="28"/>
                <w:szCs w:val="28"/>
              </w:rPr>
              <w:t>Samspil med selskabets aktionærer, investorer og øvrige interessenter</w:t>
            </w:r>
          </w:p>
        </w:tc>
      </w:tr>
      <w:tr w:rsidR="005B6517" w:rsidRPr="0017124A" w14:paraId="2DFC5DDF" w14:textId="77777777" w:rsidTr="00492BA7">
        <w:trPr>
          <w:trHeight w:val="377"/>
        </w:trPr>
        <w:tc>
          <w:tcPr>
            <w:tcW w:w="4384" w:type="dxa"/>
          </w:tcPr>
          <w:p w14:paraId="49C6D45D" w14:textId="60EDC5BE" w:rsidR="00AE5C39" w:rsidRPr="005C3891" w:rsidRDefault="00FD0F4F" w:rsidP="00AE5C39">
            <w:r w:rsidRPr="00AD4297">
              <w:t xml:space="preserve">1.1. </w:t>
            </w:r>
            <w:r w:rsidR="0046657E" w:rsidRPr="0046657E">
              <w:t>Udvalget anbefaler, at selskabet udarbejder en strategi for selskabets værdiskabelse til aktionærer (equity story), som gøres tilgængelig på selskabets hjemmeside</w:t>
            </w:r>
            <w:r w:rsidR="00C974F0">
              <w:t>.</w:t>
            </w:r>
          </w:p>
        </w:tc>
        <w:tc>
          <w:tcPr>
            <w:tcW w:w="1281" w:type="dxa"/>
          </w:tcPr>
          <w:p w14:paraId="6BCDCA53" w14:textId="77777777" w:rsidR="00813C21" w:rsidRPr="0017124A" w:rsidRDefault="00813C21" w:rsidP="00273D8C">
            <w:pPr>
              <w:rPr>
                <w:rFonts w:asciiTheme="majorHAnsi" w:hAnsiTheme="majorHAnsi" w:cstheme="majorHAnsi"/>
              </w:rPr>
            </w:pPr>
          </w:p>
        </w:tc>
        <w:tc>
          <w:tcPr>
            <w:tcW w:w="2595" w:type="dxa"/>
          </w:tcPr>
          <w:p w14:paraId="50D7CA7D" w14:textId="77777777" w:rsidR="00813C21" w:rsidRPr="0017124A" w:rsidRDefault="00813C21" w:rsidP="00273D8C">
            <w:pPr>
              <w:rPr>
                <w:rFonts w:asciiTheme="majorHAnsi" w:hAnsiTheme="majorHAnsi" w:cstheme="majorHAnsi"/>
              </w:rPr>
            </w:pPr>
          </w:p>
        </w:tc>
        <w:tc>
          <w:tcPr>
            <w:tcW w:w="2890" w:type="dxa"/>
            <w:gridSpan w:val="2"/>
          </w:tcPr>
          <w:p w14:paraId="017FEC77" w14:textId="77777777" w:rsidR="00813C21" w:rsidRPr="0017124A" w:rsidRDefault="00813C21" w:rsidP="00273D8C">
            <w:pPr>
              <w:rPr>
                <w:rFonts w:asciiTheme="majorHAnsi" w:hAnsiTheme="majorHAnsi" w:cstheme="majorHAnsi"/>
              </w:rPr>
            </w:pPr>
          </w:p>
        </w:tc>
        <w:tc>
          <w:tcPr>
            <w:tcW w:w="2879" w:type="dxa"/>
          </w:tcPr>
          <w:p w14:paraId="239F368C" w14:textId="77777777" w:rsidR="00813C21" w:rsidRPr="0017124A" w:rsidRDefault="00813C21" w:rsidP="00273D8C">
            <w:pPr>
              <w:rPr>
                <w:rFonts w:asciiTheme="majorHAnsi" w:hAnsiTheme="majorHAnsi" w:cstheme="majorHAnsi"/>
              </w:rPr>
            </w:pPr>
          </w:p>
        </w:tc>
      </w:tr>
      <w:tr w:rsidR="005B6517" w:rsidRPr="0017124A" w14:paraId="2792201D" w14:textId="77777777" w:rsidTr="00492BA7">
        <w:trPr>
          <w:trHeight w:val="377"/>
        </w:trPr>
        <w:tc>
          <w:tcPr>
            <w:tcW w:w="4384" w:type="dxa"/>
          </w:tcPr>
          <w:p w14:paraId="0276E46D" w14:textId="1CC8025C" w:rsidR="000C5C54" w:rsidRPr="005C3891" w:rsidRDefault="009B2E7B" w:rsidP="00AE5C39">
            <w:r>
              <w:t>1.</w:t>
            </w:r>
            <w:r w:rsidR="00FF5D8E">
              <w:t>2</w:t>
            </w:r>
            <w:r>
              <w:t xml:space="preserve">. </w:t>
            </w:r>
            <w:r w:rsidR="004160FD" w:rsidRPr="004160FD">
              <w:t>Udvalget anbefaler, at ledelsen via løbende dialog sikrer aktionærer, investorer og øvrige interessenter relevant indsigt i selskabets forhold, og at bestyrelsen får mulighed for at kende og inddrage deres holdninger i sit arbejde</w:t>
            </w:r>
            <w:r w:rsidR="00C974F0">
              <w:t>.</w:t>
            </w:r>
          </w:p>
        </w:tc>
        <w:tc>
          <w:tcPr>
            <w:tcW w:w="1281" w:type="dxa"/>
          </w:tcPr>
          <w:p w14:paraId="2625E9F7" w14:textId="77777777" w:rsidR="000C5C54" w:rsidRPr="0017124A" w:rsidRDefault="000C5C54" w:rsidP="00273D8C">
            <w:pPr>
              <w:rPr>
                <w:rFonts w:asciiTheme="majorHAnsi" w:hAnsiTheme="majorHAnsi" w:cstheme="majorHAnsi"/>
              </w:rPr>
            </w:pPr>
          </w:p>
        </w:tc>
        <w:tc>
          <w:tcPr>
            <w:tcW w:w="2595" w:type="dxa"/>
          </w:tcPr>
          <w:p w14:paraId="178D5D56" w14:textId="77777777" w:rsidR="000C5C54" w:rsidRPr="0017124A" w:rsidRDefault="000C5C54" w:rsidP="00273D8C">
            <w:pPr>
              <w:rPr>
                <w:rFonts w:asciiTheme="majorHAnsi" w:hAnsiTheme="majorHAnsi" w:cstheme="majorHAnsi"/>
              </w:rPr>
            </w:pPr>
          </w:p>
        </w:tc>
        <w:tc>
          <w:tcPr>
            <w:tcW w:w="2890" w:type="dxa"/>
            <w:gridSpan w:val="2"/>
          </w:tcPr>
          <w:p w14:paraId="254263FE" w14:textId="77777777" w:rsidR="000C5C54" w:rsidRPr="0017124A" w:rsidRDefault="000C5C54" w:rsidP="00273D8C">
            <w:pPr>
              <w:rPr>
                <w:rFonts w:asciiTheme="majorHAnsi" w:hAnsiTheme="majorHAnsi" w:cstheme="majorHAnsi"/>
              </w:rPr>
            </w:pPr>
          </w:p>
        </w:tc>
        <w:tc>
          <w:tcPr>
            <w:tcW w:w="2879" w:type="dxa"/>
          </w:tcPr>
          <w:p w14:paraId="7F02C024" w14:textId="77777777" w:rsidR="000C5C54" w:rsidRPr="0017124A" w:rsidRDefault="000C5C54" w:rsidP="00273D8C">
            <w:pPr>
              <w:rPr>
                <w:rFonts w:asciiTheme="majorHAnsi" w:hAnsiTheme="majorHAnsi" w:cstheme="majorHAnsi"/>
              </w:rPr>
            </w:pPr>
          </w:p>
        </w:tc>
      </w:tr>
      <w:tr w:rsidR="005B6517" w:rsidRPr="0017124A" w14:paraId="43B4E9CC" w14:textId="77777777" w:rsidTr="00492BA7">
        <w:trPr>
          <w:trHeight w:val="377"/>
        </w:trPr>
        <w:tc>
          <w:tcPr>
            <w:tcW w:w="4384" w:type="dxa"/>
          </w:tcPr>
          <w:p w14:paraId="014431F8" w14:textId="400F5252" w:rsidR="000C5C54" w:rsidRPr="005C3891" w:rsidRDefault="00FD1D23" w:rsidP="00AE5C39">
            <w:r>
              <w:t>1.</w:t>
            </w:r>
            <w:r w:rsidR="00CB006D">
              <w:t>3</w:t>
            </w:r>
            <w:r>
              <w:t xml:space="preserve">. </w:t>
            </w:r>
            <w:r w:rsidR="00D749C7" w:rsidRPr="00D749C7">
              <w:t>Udvalget anbefaler, at selskabets løbende nyhedsstrøm er konsistent og nem at vurdere. Herunder, at det af den enkelte nyhed fremgår, hvordan nyheder i selskabsmeddelelser passer ind i strategien og påvirker værdiskabelsen</w:t>
            </w:r>
            <w:r w:rsidR="00C974F0">
              <w:t>.</w:t>
            </w:r>
          </w:p>
        </w:tc>
        <w:tc>
          <w:tcPr>
            <w:tcW w:w="1281" w:type="dxa"/>
          </w:tcPr>
          <w:p w14:paraId="303D97D7" w14:textId="77777777" w:rsidR="000C5C54" w:rsidRPr="0017124A" w:rsidRDefault="000C5C54" w:rsidP="00273D8C">
            <w:pPr>
              <w:rPr>
                <w:rFonts w:asciiTheme="majorHAnsi" w:hAnsiTheme="majorHAnsi" w:cstheme="majorHAnsi"/>
              </w:rPr>
            </w:pPr>
          </w:p>
        </w:tc>
        <w:tc>
          <w:tcPr>
            <w:tcW w:w="2595" w:type="dxa"/>
          </w:tcPr>
          <w:p w14:paraId="45F6D50B" w14:textId="77777777" w:rsidR="000C5C54" w:rsidRPr="0017124A" w:rsidRDefault="000C5C54" w:rsidP="00273D8C">
            <w:pPr>
              <w:rPr>
                <w:rFonts w:asciiTheme="majorHAnsi" w:hAnsiTheme="majorHAnsi" w:cstheme="majorHAnsi"/>
              </w:rPr>
            </w:pPr>
          </w:p>
        </w:tc>
        <w:tc>
          <w:tcPr>
            <w:tcW w:w="2890" w:type="dxa"/>
            <w:gridSpan w:val="2"/>
          </w:tcPr>
          <w:p w14:paraId="2957E658" w14:textId="77777777" w:rsidR="000C5C54" w:rsidRPr="0017124A" w:rsidRDefault="000C5C54" w:rsidP="00273D8C">
            <w:pPr>
              <w:rPr>
                <w:rFonts w:asciiTheme="majorHAnsi" w:hAnsiTheme="majorHAnsi" w:cstheme="majorHAnsi"/>
              </w:rPr>
            </w:pPr>
          </w:p>
        </w:tc>
        <w:tc>
          <w:tcPr>
            <w:tcW w:w="2879" w:type="dxa"/>
          </w:tcPr>
          <w:p w14:paraId="2C2C89F3" w14:textId="77777777" w:rsidR="000C5C54" w:rsidRPr="0017124A" w:rsidRDefault="000C5C54" w:rsidP="00273D8C">
            <w:pPr>
              <w:rPr>
                <w:rFonts w:asciiTheme="majorHAnsi" w:hAnsiTheme="majorHAnsi" w:cstheme="majorHAnsi"/>
              </w:rPr>
            </w:pPr>
          </w:p>
        </w:tc>
      </w:tr>
      <w:tr w:rsidR="005B6517" w:rsidRPr="0017124A" w14:paraId="2EB625CF" w14:textId="77777777" w:rsidTr="00492BA7">
        <w:trPr>
          <w:trHeight w:val="377"/>
        </w:trPr>
        <w:tc>
          <w:tcPr>
            <w:tcW w:w="4384" w:type="dxa"/>
          </w:tcPr>
          <w:p w14:paraId="23716CD3" w14:textId="0F54DDFE" w:rsidR="000C5C54" w:rsidRPr="005C3891" w:rsidRDefault="00810171" w:rsidP="00AE5C39">
            <w:r>
              <w:t xml:space="preserve">1.4. </w:t>
            </w:r>
            <w:r w:rsidR="00301272" w:rsidRPr="00301272">
              <w:t xml:space="preserve">Udvalget anbefaler, at selskabet har en kommunikationspolitik for offentliggørelse af information via selskabsmeddelelser, pressemeddelelser etc. samt for </w:t>
            </w:r>
            <w:r w:rsidR="00301272" w:rsidRPr="00301272">
              <w:lastRenderedPageBreak/>
              <w:t>kommunikation via sociale medier, chat fora etc.</w:t>
            </w:r>
          </w:p>
        </w:tc>
        <w:tc>
          <w:tcPr>
            <w:tcW w:w="1281" w:type="dxa"/>
          </w:tcPr>
          <w:p w14:paraId="5168A13C" w14:textId="77777777" w:rsidR="000C5C54" w:rsidRPr="0017124A" w:rsidRDefault="000C5C54" w:rsidP="00273D8C">
            <w:pPr>
              <w:rPr>
                <w:rFonts w:asciiTheme="majorHAnsi" w:hAnsiTheme="majorHAnsi" w:cstheme="majorHAnsi"/>
              </w:rPr>
            </w:pPr>
          </w:p>
        </w:tc>
        <w:tc>
          <w:tcPr>
            <w:tcW w:w="2595" w:type="dxa"/>
          </w:tcPr>
          <w:p w14:paraId="35FE58AF" w14:textId="77777777" w:rsidR="000C5C54" w:rsidRPr="0017124A" w:rsidRDefault="000C5C54" w:rsidP="00273D8C">
            <w:pPr>
              <w:rPr>
                <w:rFonts w:asciiTheme="majorHAnsi" w:hAnsiTheme="majorHAnsi" w:cstheme="majorHAnsi"/>
              </w:rPr>
            </w:pPr>
          </w:p>
        </w:tc>
        <w:tc>
          <w:tcPr>
            <w:tcW w:w="2890" w:type="dxa"/>
            <w:gridSpan w:val="2"/>
          </w:tcPr>
          <w:p w14:paraId="799CFBE6" w14:textId="77777777" w:rsidR="000C5C54" w:rsidRPr="0017124A" w:rsidRDefault="000C5C54" w:rsidP="00273D8C">
            <w:pPr>
              <w:rPr>
                <w:rFonts w:asciiTheme="majorHAnsi" w:hAnsiTheme="majorHAnsi" w:cstheme="majorHAnsi"/>
              </w:rPr>
            </w:pPr>
          </w:p>
        </w:tc>
        <w:tc>
          <w:tcPr>
            <w:tcW w:w="2879" w:type="dxa"/>
          </w:tcPr>
          <w:p w14:paraId="1678ADF4" w14:textId="77777777" w:rsidR="000C5C54" w:rsidRPr="0017124A" w:rsidRDefault="000C5C54" w:rsidP="00273D8C">
            <w:pPr>
              <w:rPr>
                <w:rFonts w:asciiTheme="majorHAnsi" w:hAnsiTheme="majorHAnsi" w:cstheme="majorHAnsi"/>
              </w:rPr>
            </w:pPr>
          </w:p>
        </w:tc>
      </w:tr>
      <w:tr w:rsidR="005B6517" w:rsidRPr="0017124A" w14:paraId="750784C8" w14:textId="77777777" w:rsidTr="00492BA7">
        <w:trPr>
          <w:trHeight w:val="377"/>
        </w:trPr>
        <w:tc>
          <w:tcPr>
            <w:tcW w:w="4384" w:type="dxa"/>
          </w:tcPr>
          <w:p w14:paraId="02123C5C" w14:textId="26D5F7E5" w:rsidR="001F251F" w:rsidRPr="005C3891" w:rsidRDefault="00810171" w:rsidP="00996AB4">
            <w:pPr>
              <w:rPr>
                <w:rFonts w:ascii="Gill Sans MT" w:hAnsi="Gill Sans MT"/>
                <w:b/>
                <w:i/>
                <w:iCs/>
                <w:sz w:val="20"/>
              </w:rPr>
            </w:pPr>
            <w:r w:rsidRPr="005C3891">
              <w:t xml:space="preserve">1.5. </w:t>
            </w:r>
            <w:r w:rsidR="001F251F" w:rsidRPr="005C3891">
              <w:t>Udvalget anbefaler, at selskabet offentliggør kvartalsrapporter eller alternativt kvartalsopdateringer, herunder omtale af udviklingen i de væsentligste finansielle forhold (værdipåvirkende forhold</w:t>
            </w:r>
            <w:r w:rsidR="005C3891" w:rsidRPr="005C3891">
              <w:t>)</w:t>
            </w:r>
            <w:r w:rsidR="00C974F0">
              <w:t>.</w:t>
            </w:r>
          </w:p>
        </w:tc>
        <w:tc>
          <w:tcPr>
            <w:tcW w:w="1281" w:type="dxa"/>
          </w:tcPr>
          <w:p w14:paraId="10A2393E" w14:textId="77777777" w:rsidR="000C5C54" w:rsidRPr="0017124A" w:rsidRDefault="000C5C54" w:rsidP="00273D8C">
            <w:pPr>
              <w:rPr>
                <w:rFonts w:asciiTheme="majorHAnsi" w:hAnsiTheme="majorHAnsi" w:cstheme="majorHAnsi"/>
              </w:rPr>
            </w:pPr>
          </w:p>
        </w:tc>
        <w:tc>
          <w:tcPr>
            <w:tcW w:w="2595" w:type="dxa"/>
          </w:tcPr>
          <w:p w14:paraId="3A7AAC42" w14:textId="77777777" w:rsidR="000C5C54" w:rsidRPr="0017124A" w:rsidRDefault="000C5C54" w:rsidP="00273D8C">
            <w:pPr>
              <w:rPr>
                <w:rFonts w:asciiTheme="majorHAnsi" w:hAnsiTheme="majorHAnsi" w:cstheme="majorHAnsi"/>
              </w:rPr>
            </w:pPr>
          </w:p>
        </w:tc>
        <w:tc>
          <w:tcPr>
            <w:tcW w:w="2890" w:type="dxa"/>
            <w:gridSpan w:val="2"/>
          </w:tcPr>
          <w:p w14:paraId="0F2F3B51" w14:textId="77777777" w:rsidR="000C5C54" w:rsidRPr="0017124A" w:rsidRDefault="000C5C54" w:rsidP="00273D8C">
            <w:pPr>
              <w:rPr>
                <w:rFonts w:asciiTheme="majorHAnsi" w:hAnsiTheme="majorHAnsi" w:cstheme="majorHAnsi"/>
              </w:rPr>
            </w:pPr>
          </w:p>
        </w:tc>
        <w:tc>
          <w:tcPr>
            <w:tcW w:w="2879" w:type="dxa"/>
          </w:tcPr>
          <w:p w14:paraId="22035603" w14:textId="77777777" w:rsidR="000C5C54" w:rsidRPr="0017124A" w:rsidRDefault="000C5C54" w:rsidP="00273D8C">
            <w:pPr>
              <w:rPr>
                <w:rFonts w:asciiTheme="majorHAnsi" w:hAnsiTheme="majorHAnsi" w:cstheme="majorHAnsi"/>
              </w:rPr>
            </w:pPr>
          </w:p>
        </w:tc>
      </w:tr>
      <w:tr w:rsidR="005B6517" w:rsidRPr="0017124A" w14:paraId="5BCE6434" w14:textId="77777777" w:rsidTr="00492BA7">
        <w:trPr>
          <w:trHeight w:val="377"/>
        </w:trPr>
        <w:tc>
          <w:tcPr>
            <w:tcW w:w="4384" w:type="dxa"/>
          </w:tcPr>
          <w:p w14:paraId="31716FB7" w14:textId="7993D970" w:rsidR="000C5C54" w:rsidRPr="005C3891" w:rsidRDefault="002872AC" w:rsidP="00AD4297">
            <w:r>
              <w:t>1.</w:t>
            </w:r>
            <w:r w:rsidR="0092196F">
              <w:t>6</w:t>
            </w:r>
            <w:r>
              <w:t>.</w:t>
            </w:r>
            <w:r w:rsidR="005C3891">
              <w:t xml:space="preserve"> </w:t>
            </w:r>
            <w:r w:rsidR="00322444" w:rsidRPr="005C3891">
              <w:t>Udvalget anbefaler, at selskabet udarbejder resultatforventninger og at resultatforventningerne omfatter det kommende regnskabsår</w:t>
            </w:r>
            <w:r w:rsidR="00C974F0">
              <w:t>.</w:t>
            </w:r>
          </w:p>
        </w:tc>
        <w:tc>
          <w:tcPr>
            <w:tcW w:w="1281" w:type="dxa"/>
          </w:tcPr>
          <w:p w14:paraId="67D796FF" w14:textId="77777777" w:rsidR="000C5C54" w:rsidRPr="0017124A" w:rsidRDefault="000C5C54" w:rsidP="00273D8C">
            <w:pPr>
              <w:rPr>
                <w:rFonts w:asciiTheme="majorHAnsi" w:hAnsiTheme="majorHAnsi" w:cstheme="majorHAnsi"/>
              </w:rPr>
            </w:pPr>
          </w:p>
        </w:tc>
        <w:tc>
          <w:tcPr>
            <w:tcW w:w="2595" w:type="dxa"/>
          </w:tcPr>
          <w:p w14:paraId="54C89478" w14:textId="77777777" w:rsidR="000C5C54" w:rsidRPr="0017124A" w:rsidRDefault="000C5C54" w:rsidP="00273D8C">
            <w:pPr>
              <w:rPr>
                <w:rFonts w:asciiTheme="majorHAnsi" w:hAnsiTheme="majorHAnsi" w:cstheme="majorHAnsi"/>
              </w:rPr>
            </w:pPr>
          </w:p>
        </w:tc>
        <w:tc>
          <w:tcPr>
            <w:tcW w:w="2890" w:type="dxa"/>
            <w:gridSpan w:val="2"/>
          </w:tcPr>
          <w:p w14:paraId="2DF4A5A6" w14:textId="77777777" w:rsidR="000C5C54" w:rsidRPr="0017124A" w:rsidRDefault="000C5C54" w:rsidP="00273D8C">
            <w:pPr>
              <w:rPr>
                <w:rFonts w:asciiTheme="majorHAnsi" w:hAnsiTheme="majorHAnsi" w:cstheme="majorHAnsi"/>
              </w:rPr>
            </w:pPr>
          </w:p>
        </w:tc>
        <w:tc>
          <w:tcPr>
            <w:tcW w:w="2879" w:type="dxa"/>
          </w:tcPr>
          <w:p w14:paraId="1D8393EB" w14:textId="77777777" w:rsidR="000C5C54" w:rsidRPr="0017124A" w:rsidRDefault="000C5C54" w:rsidP="00273D8C">
            <w:pPr>
              <w:rPr>
                <w:rFonts w:asciiTheme="majorHAnsi" w:hAnsiTheme="majorHAnsi" w:cstheme="majorHAnsi"/>
              </w:rPr>
            </w:pPr>
          </w:p>
        </w:tc>
      </w:tr>
      <w:tr w:rsidR="005B6517" w:rsidRPr="0017124A" w14:paraId="43A17130" w14:textId="77777777" w:rsidTr="00492BA7">
        <w:trPr>
          <w:trHeight w:val="377"/>
        </w:trPr>
        <w:tc>
          <w:tcPr>
            <w:tcW w:w="4384" w:type="dxa"/>
          </w:tcPr>
          <w:p w14:paraId="57CAF17A" w14:textId="3809A84E" w:rsidR="000C5C54" w:rsidRPr="00AD4297" w:rsidRDefault="002872AC" w:rsidP="00AD4297">
            <w:pPr>
              <w:rPr>
                <w:rFonts w:ascii="Calibri" w:hAnsi="Calibri" w:cs="Calibri"/>
              </w:rPr>
            </w:pPr>
            <w:r>
              <w:t>1.</w:t>
            </w:r>
            <w:r w:rsidR="00350D3A">
              <w:t>7</w:t>
            </w:r>
            <w:r>
              <w:t>.</w:t>
            </w:r>
            <w:r w:rsidR="005C3891">
              <w:t xml:space="preserve"> </w:t>
            </w:r>
            <w:r w:rsidR="008E707B" w:rsidRPr="008E707B">
              <w:t>Udvalget anbefaler, at selskabet tilstræber størst mulig transparens om ejerstruktur, ledelsesmæssige bindinger og lock-up perioder</w:t>
            </w:r>
            <w:r w:rsidR="00C974F0">
              <w:t>.</w:t>
            </w:r>
          </w:p>
        </w:tc>
        <w:tc>
          <w:tcPr>
            <w:tcW w:w="1281" w:type="dxa"/>
          </w:tcPr>
          <w:p w14:paraId="1F9EB84E" w14:textId="77777777" w:rsidR="000C5C54" w:rsidRPr="00AA6020" w:rsidRDefault="000C5C54" w:rsidP="00273D8C">
            <w:pPr>
              <w:spacing w:before="120" w:after="120"/>
            </w:pPr>
          </w:p>
        </w:tc>
        <w:tc>
          <w:tcPr>
            <w:tcW w:w="2595" w:type="dxa"/>
          </w:tcPr>
          <w:p w14:paraId="271139CA" w14:textId="77777777" w:rsidR="000C5C54" w:rsidRPr="00AA6020" w:rsidRDefault="000C5C54" w:rsidP="00273D8C">
            <w:pPr>
              <w:spacing w:before="120" w:after="120"/>
            </w:pPr>
          </w:p>
        </w:tc>
        <w:tc>
          <w:tcPr>
            <w:tcW w:w="2890" w:type="dxa"/>
            <w:gridSpan w:val="2"/>
          </w:tcPr>
          <w:p w14:paraId="5AE2CFBA" w14:textId="77777777" w:rsidR="000C5C54" w:rsidRPr="00AA6020" w:rsidRDefault="000C5C54" w:rsidP="00273D8C">
            <w:pPr>
              <w:spacing w:before="120" w:after="120"/>
            </w:pPr>
          </w:p>
        </w:tc>
        <w:tc>
          <w:tcPr>
            <w:tcW w:w="2879" w:type="dxa"/>
          </w:tcPr>
          <w:p w14:paraId="4A47E823" w14:textId="77777777" w:rsidR="000C5C54" w:rsidRPr="00AA6020" w:rsidRDefault="000C5C54" w:rsidP="00273D8C">
            <w:pPr>
              <w:spacing w:before="120" w:after="120"/>
            </w:pPr>
          </w:p>
        </w:tc>
      </w:tr>
      <w:tr w:rsidR="005B6517" w:rsidRPr="0017124A" w14:paraId="6EE86213" w14:textId="77777777" w:rsidTr="00492BA7">
        <w:trPr>
          <w:trHeight w:val="377"/>
        </w:trPr>
        <w:tc>
          <w:tcPr>
            <w:tcW w:w="4384" w:type="dxa"/>
          </w:tcPr>
          <w:p w14:paraId="5197911A" w14:textId="658A93AC" w:rsidR="000C5C54" w:rsidRPr="00AA6020" w:rsidRDefault="00C54B56" w:rsidP="00C83867">
            <w:r>
              <w:t>1.8</w:t>
            </w:r>
            <w:r w:rsidR="0058216C">
              <w:t>.</w:t>
            </w:r>
            <w:r>
              <w:t xml:space="preserve"> </w:t>
            </w:r>
            <w:r w:rsidRPr="00C54B56">
              <w:t xml:space="preserve">Udvalget anbefaler, at hvis nærtstående til stiftere, hovedaktionærer, bestyrelsesmedlemmer og direktionsmedlemmer er ansat i virksomheden, skal bestyrelsen føre en liste over disse relationer og mindst én gang årligt vurdere, om det fortsat er hensigtsmæssigt at </w:t>
            </w:r>
            <w:r w:rsidRPr="00C54B56">
              <w:lastRenderedPageBreak/>
              <w:t>opretholde de nærtståendes ansættelsesforhold</w:t>
            </w:r>
            <w:r w:rsidR="00C974F0">
              <w:t>.</w:t>
            </w:r>
          </w:p>
        </w:tc>
        <w:tc>
          <w:tcPr>
            <w:tcW w:w="1281" w:type="dxa"/>
          </w:tcPr>
          <w:p w14:paraId="3EA6641E" w14:textId="77777777" w:rsidR="000C5C54" w:rsidRPr="00AA6020" w:rsidRDefault="000C5C54" w:rsidP="00273D8C">
            <w:pPr>
              <w:spacing w:before="120" w:after="120"/>
            </w:pPr>
          </w:p>
        </w:tc>
        <w:tc>
          <w:tcPr>
            <w:tcW w:w="2595" w:type="dxa"/>
          </w:tcPr>
          <w:p w14:paraId="105BAC4B" w14:textId="77777777" w:rsidR="000C5C54" w:rsidRPr="00AA6020" w:rsidRDefault="000C5C54" w:rsidP="00273D8C">
            <w:pPr>
              <w:spacing w:before="120" w:after="120"/>
            </w:pPr>
          </w:p>
        </w:tc>
        <w:tc>
          <w:tcPr>
            <w:tcW w:w="2890" w:type="dxa"/>
            <w:gridSpan w:val="2"/>
          </w:tcPr>
          <w:p w14:paraId="27ED611C" w14:textId="77777777" w:rsidR="000C5C54" w:rsidRPr="00AA6020" w:rsidRDefault="000C5C54" w:rsidP="00273D8C">
            <w:pPr>
              <w:spacing w:before="120" w:after="120"/>
            </w:pPr>
          </w:p>
        </w:tc>
        <w:tc>
          <w:tcPr>
            <w:tcW w:w="2879" w:type="dxa"/>
          </w:tcPr>
          <w:p w14:paraId="58B33AEC" w14:textId="77777777" w:rsidR="000C5C54" w:rsidRPr="00AA6020" w:rsidRDefault="000C5C54" w:rsidP="00273D8C">
            <w:pPr>
              <w:spacing w:before="120" w:after="120"/>
            </w:pPr>
          </w:p>
        </w:tc>
      </w:tr>
      <w:tr w:rsidR="00FD1D23" w:rsidRPr="0017124A" w14:paraId="32EE2CE6" w14:textId="77777777" w:rsidTr="00492BA7">
        <w:trPr>
          <w:trHeight w:val="377"/>
        </w:trPr>
        <w:tc>
          <w:tcPr>
            <w:tcW w:w="14029" w:type="dxa"/>
            <w:gridSpan w:val="6"/>
          </w:tcPr>
          <w:p w14:paraId="07326235" w14:textId="7D3DF00F" w:rsidR="00FD1D23" w:rsidRPr="006E5B48" w:rsidRDefault="002872AC" w:rsidP="00273D8C">
            <w:pPr>
              <w:spacing w:before="120" w:after="120"/>
              <w:rPr>
                <w:b/>
                <w:bCs/>
                <w:sz w:val="24"/>
                <w:szCs w:val="24"/>
              </w:rPr>
            </w:pPr>
            <w:r w:rsidRPr="006E5B48">
              <w:rPr>
                <w:b/>
                <w:bCs/>
                <w:sz w:val="24"/>
                <w:szCs w:val="24"/>
              </w:rPr>
              <w:t xml:space="preserve">2. </w:t>
            </w:r>
            <w:r w:rsidR="006E18FA" w:rsidRPr="006E5B48">
              <w:rPr>
                <w:b/>
                <w:bCs/>
                <w:sz w:val="24"/>
                <w:szCs w:val="24"/>
              </w:rPr>
              <w:t>Bestyrelsens opgaver og ansvar</w:t>
            </w:r>
          </w:p>
        </w:tc>
      </w:tr>
      <w:tr w:rsidR="005B6517" w:rsidRPr="0017124A" w14:paraId="1A5B17CA" w14:textId="77777777" w:rsidTr="00492BA7">
        <w:trPr>
          <w:trHeight w:val="377"/>
        </w:trPr>
        <w:tc>
          <w:tcPr>
            <w:tcW w:w="4384" w:type="dxa"/>
          </w:tcPr>
          <w:p w14:paraId="1AF5992B" w14:textId="0C12A55D" w:rsidR="000C5C54" w:rsidRPr="00AA6020" w:rsidRDefault="006E18FA" w:rsidP="00273D8C">
            <w:pPr>
              <w:spacing w:before="120" w:after="120"/>
            </w:pPr>
            <w:r>
              <w:t>2.1.</w:t>
            </w:r>
            <w:r w:rsidR="0058216C">
              <w:t xml:space="preserve"> U</w:t>
            </w:r>
            <w:r w:rsidR="00B61FA2" w:rsidRPr="00B61FA2">
              <w:rPr>
                <w:bCs/>
              </w:rPr>
              <w:t>dvalget anbefaler, at rekruttering af kandidater til bestyrelsen følger en grundig proces, der er godkendt af bestyrelsen. Udvalget anbefaler, at der i vurderingen af bestyrelseskandidater - udover individuelle kompetencer og kvalifikationer - også indgår behovet for kontinuitet, fornyelse og mangfoldighed</w:t>
            </w:r>
            <w:r w:rsidR="00492BA7">
              <w:rPr>
                <w:bCs/>
              </w:rPr>
              <w:t>.</w:t>
            </w:r>
          </w:p>
        </w:tc>
        <w:tc>
          <w:tcPr>
            <w:tcW w:w="1281" w:type="dxa"/>
          </w:tcPr>
          <w:p w14:paraId="5B01BC7E" w14:textId="77777777" w:rsidR="000C5C54" w:rsidRPr="00AA6020" w:rsidRDefault="000C5C54" w:rsidP="00273D8C">
            <w:pPr>
              <w:spacing w:before="120" w:after="120"/>
            </w:pPr>
          </w:p>
        </w:tc>
        <w:tc>
          <w:tcPr>
            <w:tcW w:w="2595" w:type="dxa"/>
          </w:tcPr>
          <w:p w14:paraId="6CA91E9D" w14:textId="77777777" w:rsidR="000C5C54" w:rsidRPr="00AA6020" w:rsidRDefault="000C5C54" w:rsidP="00273D8C">
            <w:pPr>
              <w:spacing w:before="120" w:after="120"/>
            </w:pPr>
          </w:p>
        </w:tc>
        <w:tc>
          <w:tcPr>
            <w:tcW w:w="2890" w:type="dxa"/>
            <w:gridSpan w:val="2"/>
          </w:tcPr>
          <w:p w14:paraId="2F085C01" w14:textId="77777777" w:rsidR="000C5C54" w:rsidRPr="00AA6020" w:rsidRDefault="000C5C54" w:rsidP="00273D8C">
            <w:pPr>
              <w:spacing w:before="120" w:after="120"/>
            </w:pPr>
          </w:p>
        </w:tc>
        <w:tc>
          <w:tcPr>
            <w:tcW w:w="2879" w:type="dxa"/>
          </w:tcPr>
          <w:p w14:paraId="6EBE6CA6" w14:textId="77777777" w:rsidR="000C5C54" w:rsidRPr="00AA6020" w:rsidRDefault="000C5C54" w:rsidP="00273D8C">
            <w:pPr>
              <w:spacing w:before="120" w:after="120"/>
            </w:pPr>
          </w:p>
        </w:tc>
      </w:tr>
      <w:tr w:rsidR="005B6517" w:rsidRPr="00A475C0" w14:paraId="3C0673D5" w14:textId="77777777" w:rsidTr="00492BA7">
        <w:trPr>
          <w:trHeight w:val="377"/>
        </w:trPr>
        <w:tc>
          <w:tcPr>
            <w:tcW w:w="4384" w:type="dxa"/>
          </w:tcPr>
          <w:p w14:paraId="6EB8E492" w14:textId="425E9516" w:rsidR="000C5C54" w:rsidRPr="005C3891" w:rsidRDefault="006E18FA" w:rsidP="005C3891">
            <w:r>
              <w:t>2.2</w:t>
            </w:r>
            <w:r w:rsidRPr="00DF676B">
              <w:t>.</w:t>
            </w:r>
            <w:r w:rsidR="0058216C">
              <w:t xml:space="preserve"> </w:t>
            </w:r>
            <w:r w:rsidR="00B07D9F" w:rsidRPr="00B07D9F">
              <w:t>Udvalget anbefaler, at mindst halvdelen af de generalforsamlingsvalgte bestyrelsesmedlemmer er uafhængige, så bestyrelsen kan handle uafhængigt af særinteresser</w:t>
            </w:r>
            <w:r w:rsidR="00492BA7">
              <w:t>.</w:t>
            </w:r>
          </w:p>
        </w:tc>
        <w:tc>
          <w:tcPr>
            <w:tcW w:w="1281" w:type="dxa"/>
          </w:tcPr>
          <w:p w14:paraId="4625AE33" w14:textId="77777777" w:rsidR="000C5C54" w:rsidRPr="00AA6020" w:rsidRDefault="000C5C54" w:rsidP="00273D8C">
            <w:pPr>
              <w:spacing w:before="120" w:after="120"/>
            </w:pPr>
          </w:p>
        </w:tc>
        <w:tc>
          <w:tcPr>
            <w:tcW w:w="2595" w:type="dxa"/>
          </w:tcPr>
          <w:p w14:paraId="2E98A96E" w14:textId="77777777" w:rsidR="000C5C54" w:rsidRPr="00AA6020" w:rsidRDefault="000C5C54" w:rsidP="00273D8C">
            <w:pPr>
              <w:spacing w:before="120" w:after="120"/>
            </w:pPr>
          </w:p>
        </w:tc>
        <w:tc>
          <w:tcPr>
            <w:tcW w:w="2890" w:type="dxa"/>
            <w:gridSpan w:val="2"/>
          </w:tcPr>
          <w:p w14:paraId="31A89EB4" w14:textId="77777777" w:rsidR="000C5C54" w:rsidRPr="00AA6020" w:rsidRDefault="000C5C54" w:rsidP="00273D8C">
            <w:pPr>
              <w:spacing w:before="120" w:after="120"/>
            </w:pPr>
          </w:p>
        </w:tc>
        <w:tc>
          <w:tcPr>
            <w:tcW w:w="2879" w:type="dxa"/>
          </w:tcPr>
          <w:p w14:paraId="2CDD2CA5" w14:textId="77777777" w:rsidR="000C5C54" w:rsidRPr="00AA6020" w:rsidRDefault="000C5C54" w:rsidP="00273D8C">
            <w:pPr>
              <w:spacing w:before="120" w:after="120"/>
            </w:pPr>
          </w:p>
        </w:tc>
      </w:tr>
      <w:tr w:rsidR="005B6517" w:rsidRPr="00A475C0" w14:paraId="329431D7" w14:textId="77777777" w:rsidTr="00492BA7">
        <w:trPr>
          <w:trHeight w:val="377"/>
        </w:trPr>
        <w:tc>
          <w:tcPr>
            <w:tcW w:w="4384" w:type="dxa"/>
          </w:tcPr>
          <w:p w14:paraId="7099B257" w14:textId="4405A8DB" w:rsidR="000C5C54" w:rsidRPr="005C3891" w:rsidRDefault="00E85A91" w:rsidP="005C3891">
            <w:r>
              <w:t>2.</w:t>
            </w:r>
            <w:r w:rsidR="00C83867">
              <w:t>3</w:t>
            </w:r>
            <w:r>
              <w:t>.</w:t>
            </w:r>
            <w:r w:rsidR="0058216C">
              <w:t xml:space="preserve"> </w:t>
            </w:r>
            <w:r w:rsidR="00FA26D7" w:rsidRPr="00FA26D7">
              <w:t>Udvalget anbefaler, at direktionsmedlemmer ikke indgår som en del af bestyrelsen.</w:t>
            </w:r>
          </w:p>
        </w:tc>
        <w:tc>
          <w:tcPr>
            <w:tcW w:w="1281" w:type="dxa"/>
          </w:tcPr>
          <w:p w14:paraId="535BA4D2" w14:textId="77777777" w:rsidR="000C5C54" w:rsidRPr="00AA6020" w:rsidRDefault="000C5C54" w:rsidP="00273D8C">
            <w:pPr>
              <w:spacing w:before="120" w:after="120"/>
            </w:pPr>
          </w:p>
        </w:tc>
        <w:tc>
          <w:tcPr>
            <w:tcW w:w="2595" w:type="dxa"/>
          </w:tcPr>
          <w:p w14:paraId="7DCEF7CF" w14:textId="77777777" w:rsidR="000C5C54" w:rsidRPr="00AA6020" w:rsidRDefault="000C5C54" w:rsidP="00273D8C">
            <w:pPr>
              <w:spacing w:before="120" w:after="120"/>
            </w:pPr>
          </w:p>
        </w:tc>
        <w:tc>
          <w:tcPr>
            <w:tcW w:w="2890" w:type="dxa"/>
            <w:gridSpan w:val="2"/>
          </w:tcPr>
          <w:p w14:paraId="0805B325" w14:textId="77777777" w:rsidR="000C5C54" w:rsidRPr="00AA6020" w:rsidRDefault="000C5C54" w:rsidP="00273D8C">
            <w:pPr>
              <w:spacing w:before="120" w:after="120"/>
            </w:pPr>
          </w:p>
        </w:tc>
        <w:tc>
          <w:tcPr>
            <w:tcW w:w="2879" w:type="dxa"/>
          </w:tcPr>
          <w:p w14:paraId="5DB63821" w14:textId="77777777" w:rsidR="000C5C54" w:rsidRPr="00AA6020" w:rsidRDefault="000C5C54" w:rsidP="00273D8C">
            <w:pPr>
              <w:spacing w:before="120" w:after="120"/>
            </w:pPr>
          </w:p>
        </w:tc>
      </w:tr>
      <w:tr w:rsidR="005B6517" w:rsidRPr="00A475C0" w14:paraId="57D214B0" w14:textId="77777777" w:rsidTr="00492BA7">
        <w:trPr>
          <w:trHeight w:val="377"/>
        </w:trPr>
        <w:tc>
          <w:tcPr>
            <w:tcW w:w="4384" w:type="dxa"/>
          </w:tcPr>
          <w:p w14:paraId="0FCA6B4A" w14:textId="418A3E97" w:rsidR="000C5C54" w:rsidRPr="00AA6020" w:rsidRDefault="00E85A91" w:rsidP="005C3891">
            <w:r>
              <w:lastRenderedPageBreak/>
              <w:t>2.4.</w:t>
            </w:r>
            <w:r w:rsidR="0058216C">
              <w:t xml:space="preserve"> </w:t>
            </w:r>
            <w:r w:rsidR="00C83867" w:rsidRPr="00B54DD9">
              <w:t>Udvalget anbefaler, at bestyrelsen én gang årligt gennemfører en bestyrelsesevaluering</w:t>
            </w:r>
            <w:r w:rsidR="00C83867">
              <w:t xml:space="preserve"> og at denne bl.a.</w:t>
            </w:r>
            <w:r w:rsidR="00C83867" w:rsidRPr="00B54DD9">
              <w:t xml:space="preserve"> har fokus på anbefalingerne om bestyrelsens arbejde, effektivitet, sammensætning og organisation</w:t>
            </w:r>
            <w:r w:rsidR="00492BA7">
              <w:t>.</w:t>
            </w:r>
          </w:p>
        </w:tc>
        <w:tc>
          <w:tcPr>
            <w:tcW w:w="1281" w:type="dxa"/>
          </w:tcPr>
          <w:p w14:paraId="6382A7B5" w14:textId="77777777" w:rsidR="000C5C54" w:rsidRPr="00AA6020" w:rsidRDefault="000C5C54" w:rsidP="00273D8C">
            <w:pPr>
              <w:spacing w:before="120" w:after="120"/>
            </w:pPr>
          </w:p>
        </w:tc>
        <w:tc>
          <w:tcPr>
            <w:tcW w:w="2595" w:type="dxa"/>
          </w:tcPr>
          <w:p w14:paraId="2668C2F1" w14:textId="77777777" w:rsidR="000C5C54" w:rsidRPr="00AA6020" w:rsidRDefault="000C5C54" w:rsidP="00273D8C">
            <w:pPr>
              <w:spacing w:before="120" w:after="120"/>
            </w:pPr>
          </w:p>
        </w:tc>
        <w:tc>
          <w:tcPr>
            <w:tcW w:w="2890" w:type="dxa"/>
            <w:gridSpan w:val="2"/>
          </w:tcPr>
          <w:p w14:paraId="1C0B5884" w14:textId="77777777" w:rsidR="000C5C54" w:rsidRPr="00AA6020" w:rsidRDefault="000C5C54" w:rsidP="00273D8C">
            <w:pPr>
              <w:spacing w:before="120" w:after="120"/>
            </w:pPr>
          </w:p>
        </w:tc>
        <w:tc>
          <w:tcPr>
            <w:tcW w:w="2879" w:type="dxa"/>
          </w:tcPr>
          <w:p w14:paraId="7A4F85EF" w14:textId="77777777" w:rsidR="000C5C54" w:rsidRPr="00AA6020" w:rsidRDefault="000C5C54" w:rsidP="00273D8C">
            <w:pPr>
              <w:spacing w:before="120" w:after="120"/>
            </w:pPr>
          </w:p>
        </w:tc>
      </w:tr>
      <w:tr w:rsidR="005B6517" w:rsidRPr="00A475C0" w14:paraId="6C77D0CE" w14:textId="77777777" w:rsidTr="00492BA7">
        <w:trPr>
          <w:trHeight w:val="377"/>
        </w:trPr>
        <w:tc>
          <w:tcPr>
            <w:tcW w:w="4384" w:type="dxa"/>
          </w:tcPr>
          <w:p w14:paraId="048476CD" w14:textId="6F8FF946" w:rsidR="000C5C54" w:rsidRPr="001C6CD6" w:rsidRDefault="001C6CD6" w:rsidP="005C3891">
            <w:r>
              <w:t>2.5</w:t>
            </w:r>
            <w:r w:rsidR="005C3891">
              <w:t>.</w:t>
            </w:r>
            <w:r>
              <w:t xml:space="preserve"> </w:t>
            </w:r>
            <w:r w:rsidRPr="001C6CD6">
              <w:t>Udvalget anbefaler, at bestyrelsen mindst én gang årligt evaluerer direktionens arbejde og resultater efter forud fastsatte kriterier, og at formanden efterfølgende gennemgår dette med direktionen</w:t>
            </w:r>
            <w:r w:rsidR="00492BA7">
              <w:t>.</w:t>
            </w:r>
          </w:p>
        </w:tc>
        <w:tc>
          <w:tcPr>
            <w:tcW w:w="1281" w:type="dxa"/>
          </w:tcPr>
          <w:p w14:paraId="68CE4EF7" w14:textId="77777777" w:rsidR="000C5C54" w:rsidRPr="00AA6020" w:rsidRDefault="000C5C54" w:rsidP="00273D8C">
            <w:pPr>
              <w:spacing w:before="120" w:after="120"/>
            </w:pPr>
          </w:p>
        </w:tc>
        <w:tc>
          <w:tcPr>
            <w:tcW w:w="2595" w:type="dxa"/>
          </w:tcPr>
          <w:p w14:paraId="4DB85849" w14:textId="77777777" w:rsidR="000C5C54" w:rsidRPr="00AA6020" w:rsidRDefault="000C5C54" w:rsidP="00273D8C">
            <w:pPr>
              <w:spacing w:before="120" w:after="120"/>
            </w:pPr>
          </w:p>
        </w:tc>
        <w:tc>
          <w:tcPr>
            <w:tcW w:w="2890" w:type="dxa"/>
            <w:gridSpan w:val="2"/>
          </w:tcPr>
          <w:p w14:paraId="341FBA58" w14:textId="77777777" w:rsidR="000C5C54" w:rsidRPr="00AA6020" w:rsidRDefault="000C5C54" w:rsidP="00273D8C">
            <w:pPr>
              <w:spacing w:before="120" w:after="120"/>
            </w:pPr>
          </w:p>
        </w:tc>
        <w:tc>
          <w:tcPr>
            <w:tcW w:w="2879" w:type="dxa"/>
          </w:tcPr>
          <w:p w14:paraId="403C82EF" w14:textId="77777777" w:rsidR="000C5C54" w:rsidRPr="00AA6020" w:rsidRDefault="000C5C54" w:rsidP="00273D8C">
            <w:pPr>
              <w:spacing w:before="120" w:after="120"/>
            </w:pPr>
          </w:p>
        </w:tc>
      </w:tr>
      <w:tr w:rsidR="005B6517" w:rsidRPr="00A475C0" w14:paraId="79178400" w14:textId="77777777" w:rsidTr="00492BA7">
        <w:trPr>
          <w:trHeight w:val="377"/>
        </w:trPr>
        <w:tc>
          <w:tcPr>
            <w:tcW w:w="4384" w:type="dxa"/>
          </w:tcPr>
          <w:p w14:paraId="73FB0E58" w14:textId="015AEB25" w:rsidR="000C5C54" w:rsidRPr="005C3891" w:rsidRDefault="00E85A91" w:rsidP="00AE5C39">
            <w:r>
              <w:t>2.6</w:t>
            </w:r>
            <w:r w:rsidR="0058216C">
              <w:t xml:space="preserve">. </w:t>
            </w:r>
            <w:r w:rsidR="004338AD" w:rsidRPr="004338AD">
              <w:t>Udvalget anbefaler, at bestyrelsen godkender budget for resultat og pengestrømme, herunder en likviditetsplan med tilstrækkelig likviditetsbuffer for de kommende 12 måneder</w:t>
            </w:r>
            <w:r w:rsidR="00492BA7">
              <w:t>.</w:t>
            </w:r>
          </w:p>
        </w:tc>
        <w:tc>
          <w:tcPr>
            <w:tcW w:w="1281" w:type="dxa"/>
          </w:tcPr>
          <w:p w14:paraId="01624C78" w14:textId="77777777" w:rsidR="000C5C54" w:rsidRPr="00AA6020" w:rsidRDefault="000C5C54" w:rsidP="00273D8C">
            <w:pPr>
              <w:spacing w:before="120" w:after="120"/>
            </w:pPr>
          </w:p>
        </w:tc>
        <w:tc>
          <w:tcPr>
            <w:tcW w:w="2595" w:type="dxa"/>
          </w:tcPr>
          <w:p w14:paraId="331C4CDE" w14:textId="77777777" w:rsidR="000C5C54" w:rsidRPr="00AA6020" w:rsidRDefault="000C5C54" w:rsidP="00273D8C">
            <w:pPr>
              <w:spacing w:before="120" w:after="120"/>
            </w:pPr>
          </w:p>
        </w:tc>
        <w:tc>
          <w:tcPr>
            <w:tcW w:w="2890" w:type="dxa"/>
            <w:gridSpan w:val="2"/>
          </w:tcPr>
          <w:p w14:paraId="5FBDC01B" w14:textId="77777777" w:rsidR="000C5C54" w:rsidRPr="00AA6020" w:rsidRDefault="000C5C54" w:rsidP="00273D8C">
            <w:pPr>
              <w:spacing w:before="120" w:after="120"/>
            </w:pPr>
          </w:p>
        </w:tc>
        <w:tc>
          <w:tcPr>
            <w:tcW w:w="2879" w:type="dxa"/>
          </w:tcPr>
          <w:p w14:paraId="0D7FC0E3" w14:textId="77777777" w:rsidR="000C5C54" w:rsidRPr="00AA6020" w:rsidRDefault="000C5C54" w:rsidP="00273D8C">
            <w:pPr>
              <w:spacing w:before="120" w:after="120"/>
            </w:pPr>
          </w:p>
        </w:tc>
      </w:tr>
      <w:tr w:rsidR="005B6517" w:rsidRPr="00A475C0" w14:paraId="56082298" w14:textId="77777777" w:rsidTr="00492BA7">
        <w:trPr>
          <w:trHeight w:val="377"/>
        </w:trPr>
        <w:tc>
          <w:tcPr>
            <w:tcW w:w="4384" w:type="dxa"/>
          </w:tcPr>
          <w:p w14:paraId="25791C17" w14:textId="17FB8F89" w:rsidR="000C5C54" w:rsidRPr="005C3891" w:rsidRDefault="00E85A91" w:rsidP="00AE5C39">
            <w:r>
              <w:t>2.7.</w:t>
            </w:r>
            <w:r w:rsidR="0058216C">
              <w:t xml:space="preserve"> </w:t>
            </w:r>
            <w:r w:rsidR="00B625F5" w:rsidRPr="00B625F5">
              <w:t xml:space="preserve">Udvalget anbefaler, at selskabet har en beredskabsprocedure for overtagelsesforsøg, der indeholder en ”køreplan” for de forhold, som bestyrelsen bør overveje og tage stilling til, hvis et overtagelsestilbud er fremsat eller bestyrelsen får en begrundet formodning om, at et overtagelsestilbud kan blive fremsat. </w:t>
            </w:r>
            <w:r w:rsidR="00B625F5" w:rsidRPr="00B625F5">
              <w:lastRenderedPageBreak/>
              <w:t>Dette er særlig relevant, hvis markedsværdien af selskabets aktier ligger væsentlig under selskabets egen vurdering af selskabets værdi</w:t>
            </w:r>
            <w:r w:rsidR="00492BA7">
              <w:t>.</w:t>
            </w:r>
          </w:p>
        </w:tc>
        <w:tc>
          <w:tcPr>
            <w:tcW w:w="1281" w:type="dxa"/>
          </w:tcPr>
          <w:p w14:paraId="32375FD8" w14:textId="77777777" w:rsidR="000C5C54" w:rsidRPr="00AA6020" w:rsidRDefault="000C5C54" w:rsidP="00273D8C">
            <w:pPr>
              <w:spacing w:before="120" w:after="120"/>
            </w:pPr>
          </w:p>
        </w:tc>
        <w:tc>
          <w:tcPr>
            <w:tcW w:w="2595" w:type="dxa"/>
          </w:tcPr>
          <w:p w14:paraId="1164B1DF" w14:textId="77777777" w:rsidR="000C5C54" w:rsidRPr="00AA6020" w:rsidRDefault="000C5C54" w:rsidP="00273D8C">
            <w:pPr>
              <w:spacing w:before="120" w:after="120"/>
            </w:pPr>
          </w:p>
        </w:tc>
        <w:tc>
          <w:tcPr>
            <w:tcW w:w="2890" w:type="dxa"/>
            <w:gridSpan w:val="2"/>
          </w:tcPr>
          <w:p w14:paraId="5F0867AA" w14:textId="77777777" w:rsidR="000C5C54" w:rsidRPr="00AA6020" w:rsidRDefault="000C5C54" w:rsidP="00273D8C">
            <w:pPr>
              <w:spacing w:before="120" w:after="120"/>
            </w:pPr>
          </w:p>
        </w:tc>
        <w:tc>
          <w:tcPr>
            <w:tcW w:w="2879" w:type="dxa"/>
          </w:tcPr>
          <w:p w14:paraId="607DD2AD" w14:textId="77777777" w:rsidR="000C5C54" w:rsidRPr="00AA6020" w:rsidRDefault="000C5C54" w:rsidP="00273D8C">
            <w:pPr>
              <w:spacing w:before="120" w:after="120"/>
            </w:pPr>
          </w:p>
        </w:tc>
      </w:tr>
      <w:tr w:rsidR="005B6517" w:rsidRPr="00A475C0" w14:paraId="6B006C0F" w14:textId="77777777" w:rsidTr="00492BA7">
        <w:trPr>
          <w:trHeight w:val="377"/>
        </w:trPr>
        <w:tc>
          <w:tcPr>
            <w:tcW w:w="4384" w:type="dxa"/>
          </w:tcPr>
          <w:p w14:paraId="44A0E942" w14:textId="28BE2AE0" w:rsidR="000C5C54" w:rsidRPr="005C3891" w:rsidRDefault="005C3891" w:rsidP="00AE5C39">
            <w:r>
              <w:t xml:space="preserve">2.8. </w:t>
            </w:r>
            <w:r w:rsidR="00230984" w:rsidRPr="00230984">
              <w:t>Udvalget anbefaler, at bestyrelsen godkender politikker og/eller planer for selskabets samfundsansvar, herunder for socialt ansvar og bæredygtighed</w:t>
            </w:r>
            <w:r w:rsidR="00492BA7">
              <w:t>.</w:t>
            </w:r>
          </w:p>
        </w:tc>
        <w:tc>
          <w:tcPr>
            <w:tcW w:w="1281" w:type="dxa"/>
          </w:tcPr>
          <w:p w14:paraId="6C216942" w14:textId="77777777" w:rsidR="000C5C54" w:rsidRPr="00AA6020" w:rsidRDefault="000C5C54" w:rsidP="00273D8C">
            <w:pPr>
              <w:spacing w:before="120" w:after="120"/>
            </w:pPr>
          </w:p>
        </w:tc>
        <w:tc>
          <w:tcPr>
            <w:tcW w:w="2595" w:type="dxa"/>
          </w:tcPr>
          <w:p w14:paraId="58CFF279" w14:textId="77777777" w:rsidR="000C5C54" w:rsidRPr="00AA6020" w:rsidRDefault="000C5C54" w:rsidP="00273D8C">
            <w:pPr>
              <w:spacing w:before="120" w:after="120"/>
            </w:pPr>
          </w:p>
        </w:tc>
        <w:tc>
          <w:tcPr>
            <w:tcW w:w="2890" w:type="dxa"/>
            <w:gridSpan w:val="2"/>
          </w:tcPr>
          <w:p w14:paraId="3C960292" w14:textId="77777777" w:rsidR="000C5C54" w:rsidRPr="00AA6020" w:rsidRDefault="000C5C54" w:rsidP="00273D8C">
            <w:pPr>
              <w:spacing w:before="120" w:after="120"/>
            </w:pPr>
          </w:p>
        </w:tc>
        <w:tc>
          <w:tcPr>
            <w:tcW w:w="2879" w:type="dxa"/>
          </w:tcPr>
          <w:p w14:paraId="61ED631E" w14:textId="77777777" w:rsidR="000C5C54" w:rsidRPr="00AA6020" w:rsidRDefault="000C5C54" w:rsidP="00273D8C">
            <w:pPr>
              <w:spacing w:before="120" w:after="120"/>
            </w:pPr>
          </w:p>
        </w:tc>
      </w:tr>
      <w:tr w:rsidR="005B6517" w:rsidRPr="00A475C0" w14:paraId="12330276" w14:textId="77777777" w:rsidTr="00492BA7">
        <w:trPr>
          <w:trHeight w:val="377"/>
        </w:trPr>
        <w:tc>
          <w:tcPr>
            <w:tcW w:w="4384" w:type="dxa"/>
          </w:tcPr>
          <w:p w14:paraId="295868A8" w14:textId="227FA9E2" w:rsidR="000C5C54" w:rsidRPr="005C3891" w:rsidRDefault="00E85A91" w:rsidP="00AE5C39">
            <w:r>
              <w:t>2.9.</w:t>
            </w:r>
            <w:r w:rsidR="005C3891">
              <w:t xml:space="preserve"> </w:t>
            </w:r>
            <w:r w:rsidR="002F7690" w:rsidRPr="002F7690">
              <w:t>Udvalget anbefaler, at bestyrelsen udarbejder et årshjul, hvor de enkelte ansvarsområder indarbejdes, og at årshjulet evalueres årligt</w:t>
            </w:r>
            <w:r w:rsidR="00492BA7">
              <w:t>.</w:t>
            </w:r>
          </w:p>
        </w:tc>
        <w:tc>
          <w:tcPr>
            <w:tcW w:w="1281" w:type="dxa"/>
          </w:tcPr>
          <w:p w14:paraId="3FB3AEBA" w14:textId="77777777" w:rsidR="000C5C54" w:rsidRPr="00AA6020" w:rsidRDefault="000C5C54" w:rsidP="00273D8C">
            <w:pPr>
              <w:spacing w:before="120" w:after="120"/>
            </w:pPr>
          </w:p>
        </w:tc>
        <w:tc>
          <w:tcPr>
            <w:tcW w:w="2595" w:type="dxa"/>
          </w:tcPr>
          <w:p w14:paraId="6B42EA29" w14:textId="77777777" w:rsidR="000C5C54" w:rsidRPr="00AA6020" w:rsidRDefault="000C5C54" w:rsidP="00273D8C">
            <w:pPr>
              <w:spacing w:before="120" w:after="120"/>
            </w:pPr>
          </w:p>
        </w:tc>
        <w:tc>
          <w:tcPr>
            <w:tcW w:w="2890" w:type="dxa"/>
            <w:gridSpan w:val="2"/>
          </w:tcPr>
          <w:p w14:paraId="011E29E0" w14:textId="77777777" w:rsidR="000C5C54" w:rsidRPr="00AA6020" w:rsidRDefault="000C5C54" w:rsidP="00273D8C">
            <w:pPr>
              <w:spacing w:before="120" w:after="120"/>
            </w:pPr>
          </w:p>
        </w:tc>
        <w:tc>
          <w:tcPr>
            <w:tcW w:w="2879" w:type="dxa"/>
          </w:tcPr>
          <w:p w14:paraId="7D3916F7" w14:textId="77777777" w:rsidR="000C5C54" w:rsidRPr="00AA6020" w:rsidRDefault="000C5C54" w:rsidP="00273D8C">
            <w:pPr>
              <w:spacing w:before="120" w:after="120"/>
            </w:pPr>
          </w:p>
        </w:tc>
      </w:tr>
      <w:tr w:rsidR="005B6517" w:rsidRPr="00A475C0" w14:paraId="7CCD4F5E" w14:textId="77777777" w:rsidTr="00492BA7">
        <w:trPr>
          <w:trHeight w:val="377"/>
        </w:trPr>
        <w:tc>
          <w:tcPr>
            <w:tcW w:w="4384" w:type="dxa"/>
          </w:tcPr>
          <w:p w14:paraId="31F50589" w14:textId="16A4FE69" w:rsidR="000C5C54" w:rsidRPr="005C3891" w:rsidRDefault="00E85A91" w:rsidP="00AE5C39">
            <w:r>
              <w:t>2.10</w:t>
            </w:r>
            <w:r w:rsidR="003B3AFD">
              <w:t>.</w:t>
            </w:r>
            <w:r w:rsidR="00AE5C39">
              <w:t xml:space="preserve"> </w:t>
            </w:r>
            <w:r w:rsidR="003B3AFD" w:rsidRPr="003B3AFD">
              <w:t xml:space="preserve">Udvalget anbefaler, at bestyrelsen </w:t>
            </w:r>
            <w:r w:rsidR="003B3AFD" w:rsidRPr="003B3AFD">
              <w:rPr>
                <w:lang w:val="da"/>
              </w:rPr>
              <w:t>udarbejder og årligt gennemgår retningslinjer for direktionen, herunder krav til rapporteringen til bestyrelsen</w:t>
            </w:r>
            <w:r w:rsidR="00492BA7">
              <w:rPr>
                <w:lang w:val="da"/>
              </w:rPr>
              <w:t>.</w:t>
            </w:r>
          </w:p>
        </w:tc>
        <w:tc>
          <w:tcPr>
            <w:tcW w:w="1281" w:type="dxa"/>
          </w:tcPr>
          <w:p w14:paraId="1FE22B91" w14:textId="77777777" w:rsidR="000C5C54" w:rsidRPr="00AA6020" w:rsidRDefault="000C5C54" w:rsidP="00273D8C">
            <w:pPr>
              <w:spacing w:before="120" w:after="120"/>
            </w:pPr>
          </w:p>
        </w:tc>
        <w:tc>
          <w:tcPr>
            <w:tcW w:w="2595" w:type="dxa"/>
          </w:tcPr>
          <w:p w14:paraId="42AE2880" w14:textId="77777777" w:rsidR="000C5C54" w:rsidRPr="00AA6020" w:rsidRDefault="000C5C54" w:rsidP="00273D8C">
            <w:pPr>
              <w:spacing w:before="120" w:after="120"/>
            </w:pPr>
          </w:p>
        </w:tc>
        <w:tc>
          <w:tcPr>
            <w:tcW w:w="2890" w:type="dxa"/>
            <w:gridSpan w:val="2"/>
          </w:tcPr>
          <w:p w14:paraId="2E5493A3" w14:textId="77777777" w:rsidR="000C5C54" w:rsidRPr="00AA6020" w:rsidRDefault="000C5C54" w:rsidP="00273D8C">
            <w:pPr>
              <w:spacing w:before="120" w:after="120"/>
            </w:pPr>
          </w:p>
        </w:tc>
        <w:tc>
          <w:tcPr>
            <w:tcW w:w="2879" w:type="dxa"/>
          </w:tcPr>
          <w:p w14:paraId="7DB0A595" w14:textId="77777777" w:rsidR="000C5C54" w:rsidRPr="00AA6020" w:rsidRDefault="000C5C54" w:rsidP="00273D8C">
            <w:pPr>
              <w:spacing w:before="120" w:after="120"/>
            </w:pPr>
          </w:p>
        </w:tc>
      </w:tr>
      <w:tr w:rsidR="002834EF" w:rsidRPr="00A475C0" w14:paraId="302F0224" w14:textId="77777777" w:rsidTr="00492BA7">
        <w:trPr>
          <w:trHeight w:val="377"/>
        </w:trPr>
        <w:tc>
          <w:tcPr>
            <w:tcW w:w="14029" w:type="dxa"/>
            <w:gridSpan w:val="6"/>
          </w:tcPr>
          <w:p w14:paraId="7FC1282B" w14:textId="2B2F8A65" w:rsidR="002834EF" w:rsidRPr="006E5B48" w:rsidRDefault="002834EF" w:rsidP="00273D8C">
            <w:pPr>
              <w:spacing w:before="120" w:after="120"/>
              <w:rPr>
                <w:b/>
                <w:bCs/>
                <w:sz w:val="24"/>
                <w:szCs w:val="24"/>
              </w:rPr>
            </w:pPr>
            <w:r w:rsidRPr="006E5B48">
              <w:rPr>
                <w:b/>
                <w:bCs/>
                <w:sz w:val="24"/>
                <w:szCs w:val="24"/>
              </w:rPr>
              <w:t>3. Ledelsens vederlag</w:t>
            </w:r>
          </w:p>
        </w:tc>
      </w:tr>
      <w:tr w:rsidR="00A92D0A" w:rsidRPr="00A475C0" w14:paraId="053DBFE3" w14:textId="77777777" w:rsidTr="00492BA7">
        <w:trPr>
          <w:trHeight w:val="377"/>
        </w:trPr>
        <w:tc>
          <w:tcPr>
            <w:tcW w:w="4384" w:type="dxa"/>
          </w:tcPr>
          <w:p w14:paraId="17048233" w14:textId="52C0BFEC" w:rsidR="00A92D0A" w:rsidRPr="00AE5C39" w:rsidRDefault="009C5199" w:rsidP="00AE5C39">
            <w:r>
              <w:t xml:space="preserve">3.1. </w:t>
            </w:r>
            <w:r w:rsidR="00226793" w:rsidRPr="00226793">
              <w:t>Udvalget anbefaler, at selskabet udarbejder en vederlagspolitik for bestyrelsen og direktionen, og at bestyrelsen godkender vederlagspolitikken</w:t>
            </w:r>
            <w:r w:rsidR="00492BA7">
              <w:t>.</w:t>
            </w:r>
          </w:p>
        </w:tc>
        <w:tc>
          <w:tcPr>
            <w:tcW w:w="1281" w:type="dxa"/>
          </w:tcPr>
          <w:p w14:paraId="23039215" w14:textId="77777777" w:rsidR="00A92D0A" w:rsidRPr="00AA6020" w:rsidRDefault="00A92D0A" w:rsidP="00273D8C">
            <w:pPr>
              <w:spacing w:before="120" w:after="120"/>
            </w:pPr>
          </w:p>
        </w:tc>
        <w:tc>
          <w:tcPr>
            <w:tcW w:w="2595" w:type="dxa"/>
          </w:tcPr>
          <w:p w14:paraId="5B07E1E8" w14:textId="77777777" w:rsidR="00A92D0A" w:rsidRPr="00AA6020" w:rsidRDefault="00A92D0A" w:rsidP="00273D8C">
            <w:pPr>
              <w:spacing w:before="120" w:after="120"/>
            </w:pPr>
          </w:p>
        </w:tc>
        <w:tc>
          <w:tcPr>
            <w:tcW w:w="2890" w:type="dxa"/>
            <w:gridSpan w:val="2"/>
          </w:tcPr>
          <w:p w14:paraId="5872568C" w14:textId="77777777" w:rsidR="00A92D0A" w:rsidRPr="00AA6020" w:rsidRDefault="00A92D0A" w:rsidP="00273D8C">
            <w:pPr>
              <w:spacing w:before="120" w:after="120"/>
            </w:pPr>
          </w:p>
        </w:tc>
        <w:tc>
          <w:tcPr>
            <w:tcW w:w="2879" w:type="dxa"/>
          </w:tcPr>
          <w:p w14:paraId="356F2DD3" w14:textId="77777777" w:rsidR="00A92D0A" w:rsidRPr="00AA6020" w:rsidRDefault="00A92D0A" w:rsidP="00273D8C">
            <w:pPr>
              <w:spacing w:before="120" w:after="120"/>
            </w:pPr>
          </w:p>
        </w:tc>
      </w:tr>
      <w:tr w:rsidR="00A92D0A" w:rsidRPr="00A475C0" w14:paraId="017403F7" w14:textId="77777777" w:rsidTr="00492BA7">
        <w:trPr>
          <w:trHeight w:val="377"/>
        </w:trPr>
        <w:tc>
          <w:tcPr>
            <w:tcW w:w="4384" w:type="dxa"/>
          </w:tcPr>
          <w:p w14:paraId="01D789AD" w14:textId="478FA4A7" w:rsidR="00A92D0A" w:rsidRPr="00A475C0" w:rsidRDefault="009C5199" w:rsidP="002629A4">
            <w:r>
              <w:lastRenderedPageBreak/>
              <w:t xml:space="preserve">3.2. </w:t>
            </w:r>
            <w:r w:rsidR="008C1C13" w:rsidRPr="008C1C13">
              <w:t>Udvalget anbefaler, at aktiebaserede incitamentsprogrammer er markedskonforme, herunder at de er revolverende, dvs. med regelmæssig tildeling, og primært er langsigtede med en optjenings- eller modningsperiode på mindst tre år</w:t>
            </w:r>
            <w:r w:rsidR="00492BA7">
              <w:t>.</w:t>
            </w:r>
          </w:p>
        </w:tc>
        <w:tc>
          <w:tcPr>
            <w:tcW w:w="1281" w:type="dxa"/>
          </w:tcPr>
          <w:p w14:paraId="44C96AA5" w14:textId="77777777" w:rsidR="00A92D0A" w:rsidRPr="00AA6020" w:rsidRDefault="00A92D0A" w:rsidP="00273D8C">
            <w:pPr>
              <w:spacing w:before="120" w:after="120"/>
            </w:pPr>
          </w:p>
        </w:tc>
        <w:tc>
          <w:tcPr>
            <w:tcW w:w="2595" w:type="dxa"/>
          </w:tcPr>
          <w:p w14:paraId="7E0D09A4" w14:textId="77777777" w:rsidR="00A92D0A" w:rsidRPr="00AA6020" w:rsidRDefault="00A92D0A" w:rsidP="00273D8C">
            <w:pPr>
              <w:spacing w:before="120" w:after="120"/>
            </w:pPr>
          </w:p>
        </w:tc>
        <w:tc>
          <w:tcPr>
            <w:tcW w:w="2890" w:type="dxa"/>
            <w:gridSpan w:val="2"/>
          </w:tcPr>
          <w:p w14:paraId="5537D748" w14:textId="77777777" w:rsidR="00A92D0A" w:rsidRPr="00AA6020" w:rsidRDefault="00A92D0A" w:rsidP="00273D8C">
            <w:pPr>
              <w:spacing w:before="120" w:after="120"/>
            </w:pPr>
          </w:p>
        </w:tc>
        <w:tc>
          <w:tcPr>
            <w:tcW w:w="2879" w:type="dxa"/>
          </w:tcPr>
          <w:p w14:paraId="5A4AC4FD" w14:textId="77777777" w:rsidR="00A92D0A" w:rsidRPr="00AA6020" w:rsidRDefault="00A92D0A" w:rsidP="00273D8C">
            <w:pPr>
              <w:spacing w:before="120" w:after="120"/>
            </w:pPr>
          </w:p>
        </w:tc>
      </w:tr>
      <w:tr w:rsidR="00A92D0A" w:rsidRPr="00A475C0" w14:paraId="6BB55776" w14:textId="77777777" w:rsidTr="00492BA7">
        <w:trPr>
          <w:trHeight w:val="377"/>
        </w:trPr>
        <w:tc>
          <w:tcPr>
            <w:tcW w:w="4384" w:type="dxa"/>
          </w:tcPr>
          <w:p w14:paraId="07A9912E" w14:textId="6CAC69A4" w:rsidR="00A92D0A" w:rsidRPr="00C357A9" w:rsidRDefault="009C5199" w:rsidP="00AE5C39">
            <w:r>
              <w:t>3.3.</w:t>
            </w:r>
            <w:r w:rsidR="005C3891">
              <w:t xml:space="preserve"> </w:t>
            </w:r>
            <w:r w:rsidR="00C357A9" w:rsidRPr="00C357A9">
              <w:t>Udvalget anbefaler, at den variable del af vederlaget har en maksimal værdi på tildelingstidspunktet og at der er gennemsigtighed om den potentielle værdi på udnyttelsestidspunktet</w:t>
            </w:r>
            <w:r w:rsidR="00492BA7">
              <w:t>.</w:t>
            </w:r>
          </w:p>
        </w:tc>
        <w:tc>
          <w:tcPr>
            <w:tcW w:w="1281" w:type="dxa"/>
          </w:tcPr>
          <w:p w14:paraId="0F333DFF" w14:textId="77777777" w:rsidR="00A92D0A" w:rsidRPr="00AA6020" w:rsidRDefault="00A92D0A" w:rsidP="00273D8C">
            <w:pPr>
              <w:spacing w:before="120" w:after="120"/>
            </w:pPr>
          </w:p>
        </w:tc>
        <w:tc>
          <w:tcPr>
            <w:tcW w:w="2595" w:type="dxa"/>
          </w:tcPr>
          <w:p w14:paraId="3BDE2086" w14:textId="77777777" w:rsidR="00A92D0A" w:rsidRPr="00AA6020" w:rsidRDefault="00A92D0A" w:rsidP="00273D8C">
            <w:pPr>
              <w:spacing w:before="120" w:after="120"/>
            </w:pPr>
          </w:p>
        </w:tc>
        <w:tc>
          <w:tcPr>
            <w:tcW w:w="2890" w:type="dxa"/>
            <w:gridSpan w:val="2"/>
          </w:tcPr>
          <w:p w14:paraId="53929A0F" w14:textId="77777777" w:rsidR="00A92D0A" w:rsidRPr="00AA6020" w:rsidRDefault="00A92D0A" w:rsidP="00273D8C">
            <w:pPr>
              <w:spacing w:before="120" w:after="120"/>
            </w:pPr>
          </w:p>
        </w:tc>
        <w:tc>
          <w:tcPr>
            <w:tcW w:w="2879" w:type="dxa"/>
          </w:tcPr>
          <w:p w14:paraId="3A2D0213" w14:textId="77777777" w:rsidR="00A92D0A" w:rsidRPr="00AA6020" w:rsidRDefault="00A92D0A" w:rsidP="00273D8C">
            <w:pPr>
              <w:spacing w:before="120" w:after="120"/>
            </w:pPr>
          </w:p>
        </w:tc>
      </w:tr>
      <w:tr w:rsidR="00A92D0A" w:rsidRPr="00A475C0" w14:paraId="16CDAD47" w14:textId="77777777" w:rsidTr="00492BA7">
        <w:trPr>
          <w:trHeight w:val="377"/>
        </w:trPr>
        <w:tc>
          <w:tcPr>
            <w:tcW w:w="4384" w:type="dxa"/>
          </w:tcPr>
          <w:p w14:paraId="699AD67B" w14:textId="2D5DA3A7" w:rsidR="00A92D0A" w:rsidRPr="005C3891" w:rsidRDefault="009C5199" w:rsidP="00AE5C39">
            <w:r>
              <w:t>3.4.</w:t>
            </w:r>
            <w:r w:rsidR="005C3891">
              <w:t xml:space="preserve"> </w:t>
            </w:r>
            <w:r w:rsidR="00FB449E" w:rsidRPr="00FB449E">
              <w:t>Udvalget anbefaler, at den samlede værdi af direktionens vederlag for opsigelsesperioden inkl. fratrædelsesgodtgørelse, er markedskonform og ikke overstiger to års vederlag inkl. alle vederlagsandele</w:t>
            </w:r>
            <w:r w:rsidR="00492BA7">
              <w:t>.</w:t>
            </w:r>
          </w:p>
        </w:tc>
        <w:tc>
          <w:tcPr>
            <w:tcW w:w="1281" w:type="dxa"/>
          </w:tcPr>
          <w:p w14:paraId="74230C10" w14:textId="77777777" w:rsidR="00A92D0A" w:rsidRPr="00AA6020" w:rsidRDefault="00A92D0A" w:rsidP="00273D8C">
            <w:pPr>
              <w:spacing w:before="120" w:after="120"/>
            </w:pPr>
          </w:p>
        </w:tc>
        <w:tc>
          <w:tcPr>
            <w:tcW w:w="2595" w:type="dxa"/>
          </w:tcPr>
          <w:p w14:paraId="7F92CAC7" w14:textId="77777777" w:rsidR="00A92D0A" w:rsidRPr="00AA6020" w:rsidRDefault="00A92D0A" w:rsidP="00273D8C">
            <w:pPr>
              <w:spacing w:before="120" w:after="120"/>
            </w:pPr>
          </w:p>
        </w:tc>
        <w:tc>
          <w:tcPr>
            <w:tcW w:w="2890" w:type="dxa"/>
            <w:gridSpan w:val="2"/>
          </w:tcPr>
          <w:p w14:paraId="3D7A35FF" w14:textId="77777777" w:rsidR="00A92D0A" w:rsidRPr="00AA6020" w:rsidRDefault="00A92D0A" w:rsidP="00273D8C">
            <w:pPr>
              <w:spacing w:before="120" w:after="120"/>
            </w:pPr>
          </w:p>
        </w:tc>
        <w:tc>
          <w:tcPr>
            <w:tcW w:w="2879" w:type="dxa"/>
          </w:tcPr>
          <w:p w14:paraId="14763B4D" w14:textId="77777777" w:rsidR="00A92D0A" w:rsidRPr="00AA6020" w:rsidRDefault="00A92D0A" w:rsidP="00273D8C">
            <w:pPr>
              <w:spacing w:before="120" w:after="120"/>
            </w:pPr>
          </w:p>
        </w:tc>
      </w:tr>
      <w:tr w:rsidR="00A92D0A" w:rsidRPr="00A475C0" w14:paraId="70E32E18" w14:textId="77777777" w:rsidTr="00492BA7">
        <w:trPr>
          <w:trHeight w:val="377"/>
        </w:trPr>
        <w:tc>
          <w:tcPr>
            <w:tcW w:w="4384" w:type="dxa"/>
          </w:tcPr>
          <w:p w14:paraId="35111DE8" w14:textId="7C5C06DF" w:rsidR="00A92D0A" w:rsidRPr="005C3891" w:rsidRDefault="009C5199" w:rsidP="00AE5C39">
            <w:r>
              <w:t>3.5</w:t>
            </w:r>
            <w:r w:rsidR="005C3891">
              <w:t>.</w:t>
            </w:r>
            <w:r w:rsidR="00DA4E99" w:rsidRPr="00DA4E99">
              <w:rPr>
                <w:rFonts w:ascii="Gill Sans MT" w:hAnsi="Gill Sans MT"/>
                <w:color w:val="FFFFFF" w:themeColor="background1"/>
                <w:sz w:val="20"/>
              </w:rPr>
              <w:t xml:space="preserve"> </w:t>
            </w:r>
            <w:r w:rsidR="00DA4E99" w:rsidRPr="00DA4E99">
              <w:t xml:space="preserve">Udvalget anbefaler, at variabel honorering i form af langsigtede incitamentsprogrammer overvejes som en del af bestyrelsens samlede vederlag for at tilpasse bestyrelsens risikoprofil til </w:t>
            </w:r>
            <w:r w:rsidR="00DA4E99" w:rsidRPr="00DA4E99">
              <w:lastRenderedPageBreak/>
              <w:t>aktionærernes og tiltrække kvalificerede bestyrelsesmedlemmer</w:t>
            </w:r>
            <w:r w:rsidR="00492BA7">
              <w:t>.</w:t>
            </w:r>
          </w:p>
        </w:tc>
        <w:tc>
          <w:tcPr>
            <w:tcW w:w="1281" w:type="dxa"/>
          </w:tcPr>
          <w:p w14:paraId="6CB51B6E" w14:textId="77777777" w:rsidR="00A92D0A" w:rsidRPr="00AA6020" w:rsidRDefault="00A92D0A" w:rsidP="00273D8C">
            <w:pPr>
              <w:spacing w:before="120" w:after="120"/>
            </w:pPr>
          </w:p>
        </w:tc>
        <w:tc>
          <w:tcPr>
            <w:tcW w:w="2595" w:type="dxa"/>
          </w:tcPr>
          <w:p w14:paraId="7AEA361B" w14:textId="77777777" w:rsidR="00A92D0A" w:rsidRPr="00AA6020" w:rsidRDefault="00A92D0A" w:rsidP="00273D8C">
            <w:pPr>
              <w:spacing w:before="120" w:after="120"/>
            </w:pPr>
          </w:p>
        </w:tc>
        <w:tc>
          <w:tcPr>
            <w:tcW w:w="2890" w:type="dxa"/>
            <w:gridSpan w:val="2"/>
          </w:tcPr>
          <w:p w14:paraId="062AA06D" w14:textId="77777777" w:rsidR="00A92D0A" w:rsidRPr="00AA6020" w:rsidRDefault="00A92D0A" w:rsidP="00273D8C">
            <w:pPr>
              <w:spacing w:before="120" w:after="120"/>
            </w:pPr>
          </w:p>
        </w:tc>
        <w:tc>
          <w:tcPr>
            <w:tcW w:w="2879" w:type="dxa"/>
          </w:tcPr>
          <w:p w14:paraId="2C591764" w14:textId="77777777" w:rsidR="00A92D0A" w:rsidRPr="00AA6020" w:rsidRDefault="00A92D0A" w:rsidP="00273D8C">
            <w:pPr>
              <w:spacing w:before="120" w:after="120"/>
            </w:pPr>
          </w:p>
        </w:tc>
      </w:tr>
      <w:tr w:rsidR="005B6517" w:rsidRPr="00A475C0" w14:paraId="003D3193" w14:textId="77777777" w:rsidTr="00492BA7">
        <w:trPr>
          <w:trHeight w:val="377"/>
        </w:trPr>
        <w:tc>
          <w:tcPr>
            <w:tcW w:w="4384" w:type="dxa"/>
          </w:tcPr>
          <w:p w14:paraId="3F55C9E8" w14:textId="6A6C2837" w:rsidR="005B6517" w:rsidRPr="00A475C0" w:rsidRDefault="009C5199" w:rsidP="002629A4">
            <w:r>
              <w:t>3.6.</w:t>
            </w:r>
            <w:r w:rsidR="005C3891">
              <w:t xml:space="preserve"> </w:t>
            </w:r>
            <w:r w:rsidR="00A64C46" w:rsidRPr="00A64C46">
              <w:t>Udvalget anbefaler, at der i årsrapporten er gennemsigtighed omkring direktions- og bestyrelseshonorering</w:t>
            </w:r>
            <w:r w:rsidR="00492BA7">
              <w:t>.</w:t>
            </w:r>
          </w:p>
        </w:tc>
        <w:tc>
          <w:tcPr>
            <w:tcW w:w="1281" w:type="dxa"/>
          </w:tcPr>
          <w:p w14:paraId="592FAECF" w14:textId="77777777" w:rsidR="005B6517" w:rsidRPr="00AA6020" w:rsidRDefault="005B6517" w:rsidP="00273D8C">
            <w:pPr>
              <w:spacing w:before="120" w:after="120"/>
            </w:pPr>
          </w:p>
        </w:tc>
        <w:tc>
          <w:tcPr>
            <w:tcW w:w="2595" w:type="dxa"/>
          </w:tcPr>
          <w:p w14:paraId="155219C3" w14:textId="77777777" w:rsidR="005B6517" w:rsidRPr="00AA6020" w:rsidRDefault="005B6517" w:rsidP="00273D8C">
            <w:pPr>
              <w:spacing w:before="120" w:after="120"/>
            </w:pPr>
          </w:p>
        </w:tc>
        <w:tc>
          <w:tcPr>
            <w:tcW w:w="2890" w:type="dxa"/>
            <w:gridSpan w:val="2"/>
          </w:tcPr>
          <w:p w14:paraId="09B30A29" w14:textId="77777777" w:rsidR="005B6517" w:rsidRPr="00AA6020" w:rsidRDefault="005B6517" w:rsidP="00273D8C">
            <w:pPr>
              <w:spacing w:before="120" w:after="120"/>
            </w:pPr>
          </w:p>
        </w:tc>
        <w:tc>
          <w:tcPr>
            <w:tcW w:w="2879" w:type="dxa"/>
          </w:tcPr>
          <w:p w14:paraId="349982D7" w14:textId="77777777" w:rsidR="005B6517" w:rsidRPr="00AA6020" w:rsidRDefault="005B6517" w:rsidP="00273D8C">
            <w:pPr>
              <w:spacing w:before="120" w:after="120"/>
            </w:pPr>
          </w:p>
        </w:tc>
      </w:tr>
      <w:tr w:rsidR="009C5199" w:rsidRPr="00A475C0" w14:paraId="672DA12E" w14:textId="77777777" w:rsidTr="00492BA7">
        <w:trPr>
          <w:trHeight w:val="377"/>
        </w:trPr>
        <w:tc>
          <w:tcPr>
            <w:tcW w:w="14029" w:type="dxa"/>
            <w:gridSpan w:val="6"/>
          </w:tcPr>
          <w:p w14:paraId="6C4D2913" w14:textId="6CF3AC9A" w:rsidR="009C5199" w:rsidRPr="006E5B48" w:rsidRDefault="00D54405" w:rsidP="00273D8C">
            <w:pPr>
              <w:spacing w:before="120" w:after="120"/>
              <w:rPr>
                <w:b/>
                <w:bCs/>
                <w:sz w:val="24"/>
                <w:szCs w:val="24"/>
              </w:rPr>
            </w:pPr>
            <w:r w:rsidRPr="006E5B48">
              <w:rPr>
                <w:b/>
                <w:bCs/>
                <w:sz w:val="24"/>
                <w:szCs w:val="24"/>
              </w:rPr>
              <w:t>4. Risikostyring</w:t>
            </w:r>
          </w:p>
        </w:tc>
      </w:tr>
      <w:tr w:rsidR="005B6517" w:rsidRPr="00A475C0" w14:paraId="5478D1EF" w14:textId="77777777" w:rsidTr="00492BA7">
        <w:trPr>
          <w:trHeight w:val="377"/>
        </w:trPr>
        <w:tc>
          <w:tcPr>
            <w:tcW w:w="4384" w:type="dxa"/>
          </w:tcPr>
          <w:p w14:paraId="2E94CF72" w14:textId="716E1A7D" w:rsidR="00B27EDD" w:rsidRPr="00B27EDD" w:rsidRDefault="00D54405" w:rsidP="00AE5C39">
            <w:r>
              <w:t>4.1.</w:t>
            </w:r>
            <w:r w:rsidR="005C3891">
              <w:t xml:space="preserve"> </w:t>
            </w:r>
            <w:r w:rsidR="00B27EDD" w:rsidRPr="00B27EDD">
              <w:t>Udvalget anbefaler, at bestyrelsen med udgangspunkt i selskabets strategi og forretningsmodeller tager stilling til de væsentligste strategiske, operationelle og finansielle risici (herunder selskabets finansielle gearing samt rente- og valutarisici).</w:t>
            </w:r>
          </w:p>
          <w:p w14:paraId="52720A20" w14:textId="1DE7033C" w:rsidR="005B6517" w:rsidRPr="00A475C0" w:rsidRDefault="005B6517" w:rsidP="002629A4"/>
        </w:tc>
        <w:tc>
          <w:tcPr>
            <w:tcW w:w="1281" w:type="dxa"/>
          </w:tcPr>
          <w:p w14:paraId="7BFB4C2E" w14:textId="77777777" w:rsidR="005B6517" w:rsidRPr="00AA6020" w:rsidRDefault="005B6517" w:rsidP="00273D8C">
            <w:pPr>
              <w:spacing w:before="120" w:after="120"/>
            </w:pPr>
          </w:p>
        </w:tc>
        <w:tc>
          <w:tcPr>
            <w:tcW w:w="2595" w:type="dxa"/>
          </w:tcPr>
          <w:p w14:paraId="72A689C1" w14:textId="77777777" w:rsidR="005B6517" w:rsidRPr="00AA6020" w:rsidRDefault="005B6517" w:rsidP="00273D8C">
            <w:pPr>
              <w:spacing w:before="120" w:after="120"/>
            </w:pPr>
          </w:p>
        </w:tc>
        <w:tc>
          <w:tcPr>
            <w:tcW w:w="2890" w:type="dxa"/>
            <w:gridSpan w:val="2"/>
          </w:tcPr>
          <w:p w14:paraId="79FF937E" w14:textId="77777777" w:rsidR="005B6517" w:rsidRPr="00AA6020" w:rsidRDefault="005B6517" w:rsidP="00273D8C">
            <w:pPr>
              <w:spacing w:before="120" w:after="120"/>
            </w:pPr>
          </w:p>
        </w:tc>
        <w:tc>
          <w:tcPr>
            <w:tcW w:w="2879" w:type="dxa"/>
          </w:tcPr>
          <w:p w14:paraId="629EA84F" w14:textId="77777777" w:rsidR="005B6517" w:rsidRDefault="005B6517" w:rsidP="00273D8C">
            <w:pPr>
              <w:spacing w:before="120" w:after="120"/>
            </w:pPr>
          </w:p>
          <w:p w14:paraId="0806BE76" w14:textId="77777777" w:rsidR="00214D4E" w:rsidRPr="00214D4E" w:rsidRDefault="00214D4E" w:rsidP="00214D4E"/>
          <w:p w14:paraId="00E4CDC8" w14:textId="77777777" w:rsidR="00214D4E" w:rsidRDefault="00214D4E" w:rsidP="00214D4E"/>
          <w:p w14:paraId="5CCA35A5" w14:textId="05C565F3" w:rsidR="00214D4E" w:rsidRPr="00214D4E" w:rsidRDefault="00214D4E" w:rsidP="00214D4E">
            <w:pPr>
              <w:jc w:val="center"/>
            </w:pPr>
          </w:p>
        </w:tc>
      </w:tr>
    </w:tbl>
    <w:p w14:paraId="67042795" w14:textId="05567002" w:rsidR="00DE3C08" w:rsidRPr="00A475C0" w:rsidRDefault="00DE3C08" w:rsidP="00AE5C39">
      <w:pPr>
        <w:rPr>
          <w:rFonts w:asciiTheme="majorHAnsi" w:hAnsiTheme="majorHAnsi" w:cstheme="majorHAnsi"/>
        </w:rPr>
      </w:pPr>
    </w:p>
    <w:sectPr w:rsidR="00DE3C08" w:rsidRPr="00A475C0" w:rsidSect="0022476D">
      <w:headerReference w:type="even" r:id="rId9"/>
      <w:headerReference w:type="default" r:id="rId10"/>
      <w:footerReference w:type="even" r:id="rId11"/>
      <w:footerReference w:type="default" r:id="rId12"/>
      <w:headerReference w:type="first" r:id="rId13"/>
      <w:footerReference w:type="first" r:id="rId14"/>
      <w:pgSz w:w="16838" w:h="11906" w:orient="landscape"/>
      <w:pgMar w:top="1753"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DE6F" w14:textId="77777777" w:rsidR="00A476D4" w:rsidRDefault="00A476D4" w:rsidP="002B5800">
      <w:pPr>
        <w:spacing w:line="240" w:lineRule="auto"/>
      </w:pPr>
      <w:r>
        <w:separator/>
      </w:r>
    </w:p>
  </w:endnote>
  <w:endnote w:type="continuationSeparator" w:id="0">
    <w:p w14:paraId="568794FD" w14:textId="77777777" w:rsidR="00A476D4" w:rsidRDefault="00A476D4" w:rsidP="002B5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B685" w14:textId="77777777" w:rsidR="0056040D" w:rsidRDefault="0056040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22168"/>
      <w:docPartObj>
        <w:docPartGallery w:val="Page Numbers (Bottom of Page)"/>
        <w:docPartUnique/>
      </w:docPartObj>
    </w:sdtPr>
    <w:sdtContent>
      <w:sdt>
        <w:sdtPr>
          <w:id w:val="-1769616900"/>
          <w:docPartObj>
            <w:docPartGallery w:val="Page Numbers (Top of Page)"/>
            <w:docPartUnique/>
          </w:docPartObj>
        </w:sdtPr>
        <w:sdtContent>
          <w:p w14:paraId="55541066" w14:textId="1324D2A8" w:rsidR="00214D4E" w:rsidRDefault="00214D4E">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20769E" w14:textId="77777777" w:rsidR="002B5800" w:rsidRDefault="002B580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E093" w14:textId="77777777" w:rsidR="0056040D" w:rsidRDefault="005604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59C3" w14:textId="77777777" w:rsidR="00A476D4" w:rsidRDefault="00A476D4" w:rsidP="002B5800">
      <w:pPr>
        <w:spacing w:line="240" w:lineRule="auto"/>
      </w:pPr>
      <w:r>
        <w:separator/>
      </w:r>
    </w:p>
  </w:footnote>
  <w:footnote w:type="continuationSeparator" w:id="0">
    <w:p w14:paraId="6BAB511A" w14:textId="77777777" w:rsidR="00A476D4" w:rsidRDefault="00A476D4" w:rsidP="002B5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5468" w14:textId="77777777" w:rsidR="0056040D" w:rsidRDefault="0056040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364F" w14:textId="6A2CF456" w:rsidR="002B5800" w:rsidRPr="0022476D" w:rsidRDefault="00812288">
    <w:pPr>
      <w:pStyle w:val="Sidehoved"/>
      <w:rPr>
        <w:color w:val="245652"/>
      </w:rPr>
    </w:pPr>
    <w:r w:rsidRPr="0022476D">
      <w:rPr>
        <w:color w:val="245652"/>
      </w:rPr>
      <w:t xml:space="preserve">Afrapportering af Foreningen af Børsnoterede </w:t>
    </w:r>
    <w:r w:rsidR="0056040D">
      <w:rPr>
        <w:color w:val="245652"/>
      </w:rPr>
      <w:t>V</w:t>
    </w:r>
    <w:r w:rsidRPr="0022476D">
      <w:rPr>
        <w:color w:val="245652"/>
      </w:rPr>
      <w:t xml:space="preserve">irksomheders anbefalinger til god selskabsledelse for selskaber, der er optaget til handel på </w:t>
    </w:r>
    <w:r w:rsidR="0022476D" w:rsidRPr="0022476D">
      <w:rPr>
        <w:color w:val="245652"/>
      </w:rPr>
      <w:t xml:space="preserve">en </w:t>
    </w:r>
    <w:r w:rsidRPr="0022476D">
      <w:rPr>
        <w:color w:val="245652"/>
      </w:rPr>
      <w:t>vækstbørs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C5E3" w14:textId="77777777" w:rsidR="0056040D" w:rsidRDefault="0056040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5107"/>
    <w:multiLevelType w:val="multilevel"/>
    <w:tmpl w:val="D4B82324"/>
    <w:lvl w:ilvl="0">
      <w:start w:val="1"/>
      <w:numFmt w:val="decimal"/>
      <w:pStyle w:val="Wirteknumberingstyle"/>
      <w:lvlText w:val="%1."/>
      <w:lvlJc w:val="left"/>
      <w:pPr>
        <w:ind w:left="360" w:hanging="360"/>
      </w:pPr>
      <w:rPr>
        <w:rFonts w:hint="default"/>
        <w:b w:val="0"/>
        <w:i w:val="0"/>
        <w:color w:val="404040" w:themeColor="text1" w:themeTint="BF"/>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963780"/>
    <w:multiLevelType w:val="multilevel"/>
    <w:tmpl w:val="C136EE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7333488">
    <w:abstractNumId w:val="0"/>
  </w:num>
  <w:num w:numId="2" w16cid:durableId="47306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08"/>
    <w:rsid w:val="00013E07"/>
    <w:rsid w:val="00023870"/>
    <w:rsid w:val="00072156"/>
    <w:rsid w:val="0007219B"/>
    <w:rsid w:val="00095D53"/>
    <w:rsid w:val="000A50A9"/>
    <w:rsid w:val="000B5667"/>
    <w:rsid w:val="000C5C54"/>
    <w:rsid w:val="001026FA"/>
    <w:rsid w:val="00150019"/>
    <w:rsid w:val="00152FDF"/>
    <w:rsid w:val="00154725"/>
    <w:rsid w:val="00165A03"/>
    <w:rsid w:val="0017124A"/>
    <w:rsid w:val="001A46A2"/>
    <w:rsid w:val="001B1C82"/>
    <w:rsid w:val="001C6CD6"/>
    <w:rsid w:val="001F251F"/>
    <w:rsid w:val="001F3F63"/>
    <w:rsid w:val="00214D4E"/>
    <w:rsid w:val="0022476D"/>
    <w:rsid w:val="00226793"/>
    <w:rsid w:val="00230984"/>
    <w:rsid w:val="00240F90"/>
    <w:rsid w:val="0025440D"/>
    <w:rsid w:val="00256078"/>
    <w:rsid w:val="002629A4"/>
    <w:rsid w:val="00273D8C"/>
    <w:rsid w:val="002834EF"/>
    <w:rsid w:val="002872AC"/>
    <w:rsid w:val="002A3A6F"/>
    <w:rsid w:val="002B5800"/>
    <w:rsid w:val="002C564E"/>
    <w:rsid w:val="002F41F8"/>
    <w:rsid w:val="002F7690"/>
    <w:rsid w:val="00301272"/>
    <w:rsid w:val="00322444"/>
    <w:rsid w:val="00347A58"/>
    <w:rsid w:val="00350D3A"/>
    <w:rsid w:val="003B3AFD"/>
    <w:rsid w:val="003C53DA"/>
    <w:rsid w:val="003C6495"/>
    <w:rsid w:val="003F08AB"/>
    <w:rsid w:val="00402670"/>
    <w:rsid w:val="004160FD"/>
    <w:rsid w:val="0041699B"/>
    <w:rsid w:val="004338AD"/>
    <w:rsid w:val="0045101E"/>
    <w:rsid w:val="0045133A"/>
    <w:rsid w:val="0046657E"/>
    <w:rsid w:val="00472B9B"/>
    <w:rsid w:val="00476E46"/>
    <w:rsid w:val="00492BA7"/>
    <w:rsid w:val="004B582E"/>
    <w:rsid w:val="004C11C9"/>
    <w:rsid w:val="004E5D4F"/>
    <w:rsid w:val="005357F5"/>
    <w:rsid w:val="00541283"/>
    <w:rsid w:val="0056040D"/>
    <w:rsid w:val="00564138"/>
    <w:rsid w:val="0058216C"/>
    <w:rsid w:val="00585CA2"/>
    <w:rsid w:val="005B6517"/>
    <w:rsid w:val="005C3891"/>
    <w:rsid w:val="00601FB5"/>
    <w:rsid w:val="006022BA"/>
    <w:rsid w:val="00612215"/>
    <w:rsid w:val="006200DF"/>
    <w:rsid w:val="00695078"/>
    <w:rsid w:val="006C2C6E"/>
    <w:rsid w:val="006D2873"/>
    <w:rsid w:val="006E0E3C"/>
    <w:rsid w:val="006E18FA"/>
    <w:rsid w:val="006E5B48"/>
    <w:rsid w:val="0070377D"/>
    <w:rsid w:val="00721780"/>
    <w:rsid w:val="007457FD"/>
    <w:rsid w:val="0077544E"/>
    <w:rsid w:val="00795770"/>
    <w:rsid w:val="007B2F5F"/>
    <w:rsid w:val="007B4540"/>
    <w:rsid w:val="007E6893"/>
    <w:rsid w:val="008053F2"/>
    <w:rsid w:val="00807BC8"/>
    <w:rsid w:val="00810171"/>
    <w:rsid w:val="00812288"/>
    <w:rsid w:val="00813C21"/>
    <w:rsid w:val="0081439B"/>
    <w:rsid w:val="00816F5D"/>
    <w:rsid w:val="008471FD"/>
    <w:rsid w:val="00847EC9"/>
    <w:rsid w:val="0086243D"/>
    <w:rsid w:val="00865F62"/>
    <w:rsid w:val="00876CBA"/>
    <w:rsid w:val="008906AC"/>
    <w:rsid w:val="008C1C13"/>
    <w:rsid w:val="008C7BE6"/>
    <w:rsid w:val="008E6D0F"/>
    <w:rsid w:val="008E707B"/>
    <w:rsid w:val="008F47F5"/>
    <w:rsid w:val="0092196F"/>
    <w:rsid w:val="009374FD"/>
    <w:rsid w:val="009559DE"/>
    <w:rsid w:val="0095630E"/>
    <w:rsid w:val="009703DF"/>
    <w:rsid w:val="00971EDD"/>
    <w:rsid w:val="00996AB4"/>
    <w:rsid w:val="009B2BFE"/>
    <w:rsid w:val="009B2E7B"/>
    <w:rsid w:val="009C5199"/>
    <w:rsid w:val="009D0483"/>
    <w:rsid w:val="009E13AF"/>
    <w:rsid w:val="00A14BD3"/>
    <w:rsid w:val="00A1651F"/>
    <w:rsid w:val="00A20020"/>
    <w:rsid w:val="00A2505E"/>
    <w:rsid w:val="00A261BC"/>
    <w:rsid w:val="00A475C0"/>
    <w:rsid w:val="00A476D4"/>
    <w:rsid w:val="00A50965"/>
    <w:rsid w:val="00A51EE9"/>
    <w:rsid w:val="00A64C46"/>
    <w:rsid w:val="00A7593A"/>
    <w:rsid w:val="00A92D0A"/>
    <w:rsid w:val="00AA2B47"/>
    <w:rsid w:val="00AA6020"/>
    <w:rsid w:val="00AD4297"/>
    <w:rsid w:val="00AE5C39"/>
    <w:rsid w:val="00AE65E2"/>
    <w:rsid w:val="00AF248A"/>
    <w:rsid w:val="00AF746C"/>
    <w:rsid w:val="00B07D9F"/>
    <w:rsid w:val="00B27EDD"/>
    <w:rsid w:val="00B36E43"/>
    <w:rsid w:val="00B53F87"/>
    <w:rsid w:val="00B61FA2"/>
    <w:rsid w:val="00B625F5"/>
    <w:rsid w:val="00B76C78"/>
    <w:rsid w:val="00B947FE"/>
    <w:rsid w:val="00BB1864"/>
    <w:rsid w:val="00BB726C"/>
    <w:rsid w:val="00BE2F09"/>
    <w:rsid w:val="00BF4834"/>
    <w:rsid w:val="00C15551"/>
    <w:rsid w:val="00C34048"/>
    <w:rsid w:val="00C357A9"/>
    <w:rsid w:val="00C54B56"/>
    <w:rsid w:val="00C709F4"/>
    <w:rsid w:val="00C83867"/>
    <w:rsid w:val="00C852EB"/>
    <w:rsid w:val="00C90CC4"/>
    <w:rsid w:val="00C974F0"/>
    <w:rsid w:val="00CB006D"/>
    <w:rsid w:val="00CB1536"/>
    <w:rsid w:val="00CE0A33"/>
    <w:rsid w:val="00CE4105"/>
    <w:rsid w:val="00D00A4B"/>
    <w:rsid w:val="00D11AE0"/>
    <w:rsid w:val="00D30698"/>
    <w:rsid w:val="00D352D9"/>
    <w:rsid w:val="00D54405"/>
    <w:rsid w:val="00D560A3"/>
    <w:rsid w:val="00D749C7"/>
    <w:rsid w:val="00D8040C"/>
    <w:rsid w:val="00DA2C1D"/>
    <w:rsid w:val="00DA4E99"/>
    <w:rsid w:val="00DB7448"/>
    <w:rsid w:val="00DE3C08"/>
    <w:rsid w:val="00DF676B"/>
    <w:rsid w:val="00E1247B"/>
    <w:rsid w:val="00E85A91"/>
    <w:rsid w:val="00E874EC"/>
    <w:rsid w:val="00E92A90"/>
    <w:rsid w:val="00E967D6"/>
    <w:rsid w:val="00EA33CE"/>
    <w:rsid w:val="00EA5EA7"/>
    <w:rsid w:val="00ED6577"/>
    <w:rsid w:val="00EF4447"/>
    <w:rsid w:val="00EF4780"/>
    <w:rsid w:val="00F05CE8"/>
    <w:rsid w:val="00F315C6"/>
    <w:rsid w:val="00F64F2D"/>
    <w:rsid w:val="00F70CB8"/>
    <w:rsid w:val="00F85CD1"/>
    <w:rsid w:val="00F9230D"/>
    <w:rsid w:val="00FA26D7"/>
    <w:rsid w:val="00FB449E"/>
    <w:rsid w:val="00FB4D8F"/>
    <w:rsid w:val="00FC283D"/>
    <w:rsid w:val="00FD0F4F"/>
    <w:rsid w:val="00FD1D23"/>
    <w:rsid w:val="00FF5D8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5D15"/>
  <w15:chartTrackingRefBased/>
  <w15:docId w15:val="{BA21FD1B-B065-47A1-9125-90855D62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F0"/>
    <w:pPr>
      <w:spacing w:after="0"/>
    </w:pPr>
  </w:style>
  <w:style w:type="paragraph" w:styleId="Overskrift2">
    <w:name w:val="heading 2"/>
    <w:basedOn w:val="Normal"/>
    <w:next w:val="Normal"/>
    <w:link w:val="Overskrift2Tegn"/>
    <w:uiPriority w:val="9"/>
    <w:unhideWhenUsed/>
    <w:qFormat/>
    <w:rsid w:val="00CB15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Wirteknumberingstyle">
    <w:name w:val="Wirtek numbering style"/>
    <w:basedOn w:val="Listeafsnit"/>
    <w:rsid w:val="00FB4D8F"/>
    <w:pPr>
      <w:numPr>
        <w:numId w:val="1"/>
      </w:numPr>
      <w:spacing w:line="240" w:lineRule="auto"/>
    </w:pPr>
    <w:rPr>
      <w:color w:val="404040" w:themeColor="text1" w:themeTint="BF"/>
      <w:sz w:val="18"/>
      <w:lang w:val="fr-FR"/>
    </w:rPr>
  </w:style>
  <w:style w:type="paragraph" w:styleId="Listeafsnit">
    <w:name w:val="List Paragraph"/>
    <w:basedOn w:val="Normal"/>
    <w:uiPriority w:val="34"/>
    <w:qFormat/>
    <w:rsid w:val="00FB4D8F"/>
    <w:pPr>
      <w:ind w:left="720"/>
      <w:contextualSpacing/>
    </w:pPr>
  </w:style>
  <w:style w:type="table" w:styleId="Tabel-Gitter">
    <w:name w:val="Table Grid"/>
    <w:basedOn w:val="Tabel-Normal"/>
    <w:uiPriority w:val="39"/>
    <w:rsid w:val="00DE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link w:val="IngenafstandTegn"/>
    <w:uiPriority w:val="1"/>
    <w:qFormat/>
    <w:rsid w:val="00154725"/>
    <w:pPr>
      <w:spacing w:after="0" w:line="240" w:lineRule="auto"/>
    </w:pPr>
    <w:rPr>
      <w:rFonts w:eastAsiaTheme="minorEastAsia"/>
      <w:lang w:val="en-US"/>
    </w:rPr>
  </w:style>
  <w:style w:type="character" w:customStyle="1" w:styleId="IngenafstandTegn">
    <w:name w:val="Ingen afstand Tegn"/>
    <w:basedOn w:val="Standardskrifttypeiafsnit"/>
    <w:link w:val="Ingenafstand"/>
    <w:uiPriority w:val="1"/>
    <w:rsid w:val="00154725"/>
    <w:rPr>
      <w:rFonts w:eastAsiaTheme="minorEastAsia"/>
      <w:lang w:val="en-US"/>
    </w:rPr>
  </w:style>
  <w:style w:type="character" w:styleId="Kommentarhenvisning">
    <w:name w:val="annotation reference"/>
    <w:basedOn w:val="Standardskrifttypeiafsnit"/>
    <w:uiPriority w:val="99"/>
    <w:semiHidden/>
    <w:unhideWhenUsed/>
    <w:rsid w:val="00695078"/>
    <w:rPr>
      <w:sz w:val="16"/>
      <w:szCs w:val="16"/>
    </w:rPr>
  </w:style>
  <w:style w:type="paragraph" w:styleId="Kommentartekst">
    <w:name w:val="annotation text"/>
    <w:basedOn w:val="Normal"/>
    <w:link w:val="KommentartekstTegn"/>
    <w:uiPriority w:val="99"/>
    <w:unhideWhenUsed/>
    <w:rsid w:val="00695078"/>
    <w:pPr>
      <w:spacing w:line="240" w:lineRule="auto"/>
    </w:pPr>
    <w:rPr>
      <w:sz w:val="20"/>
      <w:szCs w:val="20"/>
    </w:rPr>
  </w:style>
  <w:style w:type="character" w:customStyle="1" w:styleId="KommentartekstTegn">
    <w:name w:val="Kommentartekst Tegn"/>
    <w:basedOn w:val="Standardskrifttypeiafsnit"/>
    <w:link w:val="Kommentartekst"/>
    <w:uiPriority w:val="99"/>
    <w:rsid w:val="00695078"/>
    <w:rPr>
      <w:sz w:val="20"/>
      <w:szCs w:val="20"/>
    </w:rPr>
  </w:style>
  <w:style w:type="paragraph" w:styleId="Kommentaremne">
    <w:name w:val="annotation subject"/>
    <w:basedOn w:val="Kommentartekst"/>
    <w:next w:val="Kommentartekst"/>
    <w:link w:val="KommentaremneTegn"/>
    <w:uiPriority w:val="99"/>
    <w:semiHidden/>
    <w:unhideWhenUsed/>
    <w:rsid w:val="00695078"/>
    <w:rPr>
      <w:b/>
      <w:bCs/>
    </w:rPr>
  </w:style>
  <w:style w:type="character" w:customStyle="1" w:styleId="KommentaremneTegn">
    <w:name w:val="Kommentaremne Tegn"/>
    <w:basedOn w:val="KommentartekstTegn"/>
    <w:link w:val="Kommentaremne"/>
    <w:uiPriority w:val="99"/>
    <w:semiHidden/>
    <w:rsid w:val="00695078"/>
    <w:rPr>
      <w:b/>
      <w:bCs/>
      <w:sz w:val="20"/>
      <w:szCs w:val="20"/>
    </w:rPr>
  </w:style>
  <w:style w:type="paragraph" w:styleId="Sidehoved">
    <w:name w:val="header"/>
    <w:basedOn w:val="Normal"/>
    <w:link w:val="SidehovedTegn"/>
    <w:uiPriority w:val="99"/>
    <w:unhideWhenUsed/>
    <w:rsid w:val="002B5800"/>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2B5800"/>
  </w:style>
  <w:style w:type="paragraph" w:styleId="Sidefod">
    <w:name w:val="footer"/>
    <w:basedOn w:val="Normal"/>
    <w:link w:val="SidefodTegn"/>
    <w:uiPriority w:val="99"/>
    <w:unhideWhenUsed/>
    <w:rsid w:val="002B5800"/>
    <w:pPr>
      <w:tabs>
        <w:tab w:val="center" w:pos="4513"/>
        <w:tab w:val="right" w:pos="9026"/>
      </w:tabs>
      <w:spacing w:line="240" w:lineRule="auto"/>
    </w:pPr>
  </w:style>
  <w:style w:type="character" w:customStyle="1" w:styleId="SidefodTegn">
    <w:name w:val="Sidefod Tegn"/>
    <w:basedOn w:val="Standardskrifttypeiafsnit"/>
    <w:link w:val="Sidefod"/>
    <w:uiPriority w:val="99"/>
    <w:rsid w:val="002B5800"/>
  </w:style>
  <w:style w:type="character" w:customStyle="1" w:styleId="Overskrift2Tegn">
    <w:name w:val="Overskrift 2 Tegn"/>
    <w:basedOn w:val="Standardskrifttypeiafsnit"/>
    <w:link w:val="Overskrift2"/>
    <w:uiPriority w:val="9"/>
    <w:rsid w:val="00CB1536"/>
    <w:rPr>
      <w:rFonts w:asciiTheme="majorHAnsi" w:eastAsiaTheme="majorEastAsia" w:hAnsiTheme="majorHAnsi" w:cstheme="majorBidi"/>
      <w:color w:val="2F5496" w:themeColor="accent1" w:themeShade="BF"/>
      <w:sz w:val="26"/>
      <w:szCs w:val="26"/>
    </w:rPr>
  </w:style>
  <w:style w:type="paragraph" w:customStyle="1" w:styleId="Anbefaling">
    <w:name w:val="Anbefaling"/>
    <w:basedOn w:val="Normal"/>
    <w:link w:val="AnbefalingChar"/>
    <w:qFormat/>
    <w:rsid w:val="00AD4297"/>
    <w:pPr>
      <w:shd w:val="clear" w:color="auto" w:fill="245652"/>
      <w:spacing w:before="60"/>
      <w:ind w:left="709"/>
      <w:contextualSpacing/>
    </w:pPr>
    <w:rPr>
      <w:rFonts w:ascii="Gill Sans MT" w:hAnsi="Gill Sans MT"/>
      <w:b/>
      <w:i/>
      <w:iCs/>
      <w:color w:val="FFFFFF" w:themeColor="background1"/>
      <w:sz w:val="20"/>
    </w:rPr>
  </w:style>
  <w:style w:type="character" w:customStyle="1" w:styleId="AnbefalingChar">
    <w:name w:val="Anbefaling Char"/>
    <w:basedOn w:val="Standardskrifttypeiafsnit"/>
    <w:link w:val="Anbefaling"/>
    <w:rsid w:val="00AD4297"/>
    <w:rPr>
      <w:rFonts w:ascii="Gill Sans MT" w:hAnsi="Gill Sans MT"/>
      <w:b/>
      <w:i/>
      <w:iCs/>
      <w:color w:val="FFFFFF" w:themeColor="background1"/>
      <w:sz w:val="20"/>
      <w:shd w:val="clear" w:color="auto" w:fill="2456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36508-23E2-4D14-8DA7-98BA29F5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1115</Words>
  <Characters>6803</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Katrine Hoff</cp:lastModifiedBy>
  <cp:revision>34</cp:revision>
  <dcterms:created xsi:type="dcterms:W3CDTF">2025-01-06T12:52:00Z</dcterms:created>
  <dcterms:modified xsi:type="dcterms:W3CDTF">2025-03-15T16:03:00Z</dcterms:modified>
</cp:coreProperties>
</file>